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4315E" w14:textId="7E0FB410" w:rsidR="00082426" w:rsidRPr="00256D32" w:rsidRDefault="00082426" w:rsidP="00256D32">
      <w:pPr>
        <w:spacing w:line="360" w:lineRule="auto"/>
        <w:ind w:firstLine="0"/>
        <w:jc w:val="center"/>
        <w:rPr>
          <w:i/>
          <w:sz w:val="22"/>
          <w:lang w:val="en-US"/>
        </w:rPr>
      </w:pPr>
      <w:r w:rsidRPr="00256D32">
        <w:rPr>
          <w:i/>
          <w:sz w:val="22"/>
          <w:lang w:val="en-US"/>
        </w:rPr>
        <w:t xml:space="preserve">This </w:t>
      </w:r>
      <w:r w:rsidR="00256D32" w:rsidRPr="00256D32">
        <w:rPr>
          <w:i/>
          <w:sz w:val="22"/>
          <w:lang w:val="en-US"/>
        </w:rPr>
        <w:t>paper is not yet published</w:t>
      </w:r>
      <w:r w:rsidRPr="00256D32">
        <w:rPr>
          <w:i/>
          <w:sz w:val="22"/>
          <w:lang w:val="en-US"/>
        </w:rPr>
        <w:t>. Please do not cite or distribute without permission of the authors</w:t>
      </w:r>
      <w:r w:rsidR="00256D32">
        <w:rPr>
          <w:i/>
          <w:sz w:val="22"/>
          <w:lang w:val="en-US"/>
        </w:rPr>
        <w:t>.</w:t>
      </w:r>
      <w:bookmarkStart w:id="0" w:name="_GoBack"/>
      <w:bookmarkEnd w:id="0"/>
    </w:p>
    <w:p w14:paraId="4ABFFE28" w14:textId="42862AA9" w:rsidR="00082426" w:rsidRPr="00136B2A" w:rsidRDefault="00082426" w:rsidP="00136B2A">
      <w:pPr>
        <w:tabs>
          <w:tab w:val="left" w:pos="7060"/>
        </w:tabs>
        <w:spacing w:line="360" w:lineRule="auto"/>
        <w:ind w:firstLine="0"/>
        <w:jc w:val="left"/>
        <w:rPr>
          <w:b/>
          <w:sz w:val="28"/>
          <w:szCs w:val="28"/>
          <w:lang w:val="en-US"/>
        </w:rPr>
      </w:pPr>
      <w:r w:rsidRPr="00136B2A">
        <w:rPr>
          <w:b/>
          <w:sz w:val="28"/>
          <w:szCs w:val="28"/>
          <w:lang w:val="en-US"/>
        </w:rPr>
        <w:tab/>
      </w:r>
    </w:p>
    <w:p w14:paraId="39E87342" w14:textId="03B66CB7" w:rsidR="00771370" w:rsidRPr="00136B2A" w:rsidRDefault="00771370" w:rsidP="00136B2A">
      <w:pPr>
        <w:spacing w:line="360" w:lineRule="auto"/>
        <w:ind w:firstLine="0"/>
        <w:jc w:val="center"/>
        <w:rPr>
          <w:b/>
          <w:sz w:val="28"/>
          <w:szCs w:val="28"/>
          <w:lang w:val="en-US"/>
        </w:rPr>
      </w:pPr>
      <w:r w:rsidRPr="00136B2A">
        <w:rPr>
          <w:b/>
          <w:sz w:val="28"/>
          <w:szCs w:val="28"/>
          <w:lang w:val="en-US"/>
        </w:rPr>
        <w:t>Slipping Past the Test: Compensatory Advantage of Social Background in the Context of Inconsistent Selection Mechanisms in Higher Education</w:t>
      </w:r>
    </w:p>
    <w:p w14:paraId="06006C05" w14:textId="77777777" w:rsidR="00AE0A31" w:rsidRPr="00136B2A" w:rsidRDefault="00AE0A31" w:rsidP="00136B2A">
      <w:pPr>
        <w:spacing w:line="360" w:lineRule="auto"/>
        <w:ind w:firstLine="0"/>
        <w:jc w:val="center"/>
        <w:rPr>
          <w:b/>
          <w:sz w:val="28"/>
          <w:szCs w:val="28"/>
          <w:lang w:val="en-US"/>
        </w:rPr>
      </w:pPr>
    </w:p>
    <w:p w14:paraId="43E1AEEC" w14:textId="7332AE27" w:rsidR="00AE0A31" w:rsidRPr="00136B2A" w:rsidRDefault="00AE0A31" w:rsidP="00136B2A">
      <w:pPr>
        <w:spacing w:line="360" w:lineRule="auto"/>
        <w:ind w:firstLine="0"/>
        <w:jc w:val="center"/>
        <w:rPr>
          <w:i/>
          <w:sz w:val="28"/>
          <w:szCs w:val="28"/>
          <w:lang w:val="en-US"/>
        </w:rPr>
      </w:pPr>
      <w:proofErr w:type="spellStart"/>
      <w:r w:rsidRPr="00136B2A">
        <w:rPr>
          <w:i/>
          <w:sz w:val="28"/>
          <w:szCs w:val="28"/>
          <w:lang w:val="en-US"/>
        </w:rPr>
        <w:t>Gordey</w:t>
      </w:r>
      <w:proofErr w:type="spellEnd"/>
      <w:r w:rsidRPr="00136B2A">
        <w:rPr>
          <w:i/>
          <w:sz w:val="28"/>
          <w:szCs w:val="28"/>
          <w:lang w:val="en-US"/>
        </w:rPr>
        <w:t xml:space="preserve"> </w:t>
      </w:r>
      <w:proofErr w:type="spellStart"/>
      <w:r w:rsidRPr="00136B2A">
        <w:rPr>
          <w:i/>
          <w:sz w:val="28"/>
          <w:szCs w:val="28"/>
          <w:lang w:val="en-US"/>
        </w:rPr>
        <w:t>Yastrebov</w:t>
      </w:r>
      <w:proofErr w:type="spellEnd"/>
      <w:r w:rsidRPr="00136B2A">
        <w:rPr>
          <w:rStyle w:val="FootnoteReference"/>
          <w:i/>
          <w:sz w:val="28"/>
          <w:szCs w:val="28"/>
          <w:lang w:val="en-US"/>
        </w:rPr>
        <w:footnoteReference w:id="1"/>
      </w:r>
      <w:r w:rsidRPr="00136B2A">
        <w:rPr>
          <w:i/>
          <w:sz w:val="28"/>
          <w:szCs w:val="28"/>
          <w:lang w:val="en-US"/>
        </w:rPr>
        <w:t xml:space="preserve">, </w:t>
      </w:r>
      <w:proofErr w:type="spellStart"/>
      <w:r w:rsidRPr="00136B2A">
        <w:rPr>
          <w:i/>
          <w:sz w:val="28"/>
          <w:szCs w:val="28"/>
          <w:lang w:val="en-US"/>
        </w:rPr>
        <w:t>Yuliya</w:t>
      </w:r>
      <w:proofErr w:type="spellEnd"/>
      <w:r w:rsidRPr="00136B2A">
        <w:rPr>
          <w:i/>
          <w:sz w:val="28"/>
          <w:szCs w:val="28"/>
          <w:lang w:val="en-US"/>
        </w:rPr>
        <w:t xml:space="preserve"> </w:t>
      </w:r>
      <w:proofErr w:type="spellStart"/>
      <w:r w:rsidRPr="00136B2A">
        <w:rPr>
          <w:i/>
          <w:sz w:val="28"/>
          <w:szCs w:val="28"/>
          <w:lang w:val="en-US"/>
        </w:rPr>
        <w:t>Kosyakova</w:t>
      </w:r>
      <w:proofErr w:type="spellEnd"/>
      <w:r w:rsidRPr="00136B2A">
        <w:rPr>
          <w:rStyle w:val="FootnoteReference"/>
          <w:i/>
          <w:sz w:val="28"/>
          <w:szCs w:val="28"/>
          <w:lang w:val="en-US"/>
        </w:rPr>
        <w:footnoteReference w:id="2"/>
      </w:r>
      <w:r w:rsidRPr="00136B2A">
        <w:rPr>
          <w:i/>
          <w:sz w:val="28"/>
          <w:szCs w:val="28"/>
          <w:lang w:val="en-US"/>
        </w:rPr>
        <w:t xml:space="preserve">, Dmitry </w:t>
      </w:r>
      <w:proofErr w:type="spellStart"/>
      <w:r w:rsidRPr="00136B2A">
        <w:rPr>
          <w:i/>
          <w:sz w:val="28"/>
          <w:szCs w:val="28"/>
          <w:lang w:val="en-US"/>
        </w:rPr>
        <w:t>Kurakin</w:t>
      </w:r>
      <w:proofErr w:type="spellEnd"/>
      <w:r w:rsidRPr="00136B2A">
        <w:rPr>
          <w:rStyle w:val="FootnoteReference"/>
          <w:i/>
          <w:sz w:val="28"/>
          <w:szCs w:val="28"/>
          <w:lang w:val="en-US"/>
        </w:rPr>
        <w:footnoteReference w:id="3"/>
      </w:r>
    </w:p>
    <w:p w14:paraId="593C9FC8" w14:textId="77777777" w:rsidR="00AE0A31" w:rsidRPr="00136B2A" w:rsidRDefault="00AE0A31" w:rsidP="00136B2A">
      <w:pPr>
        <w:spacing w:line="360" w:lineRule="auto"/>
        <w:ind w:firstLine="0"/>
        <w:jc w:val="center"/>
        <w:rPr>
          <w:b/>
          <w:sz w:val="28"/>
          <w:szCs w:val="28"/>
          <w:lang w:val="en-US"/>
        </w:rPr>
      </w:pPr>
    </w:p>
    <w:p w14:paraId="2BA12A1B" w14:textId="6D41C389" w:rsidR="00771370" w:rsidRPr="00136B2A" w:rsidRDefault="00136B2A" w:rsidP="00136B2A">
      <w:pPr>
        <w:spacing w:line="360" w:lineRule="auto"/>
        <w:ind w:firstLine="0"/>
        <w:jc w:val="center"/>
        <w:rPr>
          <w:b/>
          <w:sz w:val="28"/>
          <w:szCs w:val="28"/>
          <w:lang w:val="en-US"/>
        </w:rPr>
      </w:pPr>
      <w:r w:rsidRPr="00136B2A">
        <w:rPr>
          <w:b/>
          <w:sz w:val="28"/>
          <w:szCs w:val="28"/>
          <w:lang w:val="en-US"/>
        </w:rPr>
        <w:t>Abstract</w:t>
      </w:r>
    </w:p>
    <w:p w14:paraId="5C17A748" w14:textId="77777777" w:rsidR="00136B2A" w:rsidRDefault="00136B2A" w:rsidP="00136B2A">
      <w:pPr>
        <w:spacing w:line="360" w:lineRule="auto"/>
        <w:ind w:firstLine="0"/>
        <w:rPr>
          <w:color w:val="FF0000"/>
          <w:lang w:val="en-US"/>
        </w:rPr>
      </w:pPr>
      <w:r w:rsidRPr="00212544">
        <w:rPr>
          <w:color w:val="000000" w:themeColor="text1"/>
          <w:lang w:val="en-US"/>
        </w:rPr>
        <w:t>In this paper we analyze how existence of alternative pathways to higher education</w:t>
      </w:r>
      <w:r>
        <w:rPr>
          <w:color w:val="000000" w:themeColor="text1"/>
          <w:lang w:val="en-US"/>
        </w:rPr>
        <w:t>, which</w:t>
      </w:r>
      <w:r w:rsidRPr="00212544">
        <w:rPr>
          <w:color w:val="000000" w:themeColor="text1"/>
          <w:lang w:val="en-US"/>
        </w:rPr>
        <w:t xml:space="preserve"> imply different selection mechanisms</w:t>
      </w:r>
      <w:r>
        <w:rPr>
          <w:color w:val="000000" w:themeColor="text1"/>
          <w:lang w:val="en-US"/>
        </w:rPr>
        <w:t>,</w:t>
      </w:r>
      <w:r w:rsidRPr="00212544">
        <w:rPr>
          <w:color w:val="000000" w:themeColor="text1"/>
          <w:lang w:val="en-US"/>
        </w:rPr>
        <w:t xml:space="preserve"> affects social inequality in educational attainment. We study this in Russia’s semi-tracked educational system</w:t>
      </w:r>
      <w:r>
        <w:rPr>
          <w:color w:val="000000" w:themeColor="text1"/>
          <w:lang w:val="en-US"/>
        </w:rPr>
        <w:t>,</w:t>
      </w:r>
      <w:r w:rsidRPr="00212544">
        <w:rPr>
          <w:color w:val="000000" w:themeColor="text1"/>
          <w:lang w:val="en-US"/>
        </w:rPr>
        <w:t xml:space="preserve"> where higher</w:t>
      </w:r>
      <w:r w:rsidRPr="00877C84">
        <w:rPr>
          <w:color w:val="000000" w:themeColor="text1"/>
          <w:lang w:val="en-US"/>
        </w:rPr>
        <w:t xml:space="preserve"> education can be accessed from</w:t>
      </w:r>
      <w:r>
        <w:rPr>
          <w:color w:val="000000" w:themeColor="text1"/>
          <w:lang w:val="en-US"/>
        </w:rPr>
        <w:t xml:space="preserve"> both </w:t>
      </w:r>
      <w:r w:rsidRPr="00212544">
        <w:rPr>
          <w:color w:val="000000" w:themeColor="text1"/>
          <w:lang w:val="en-US"/>
        </w:rPr>
        <w:t>academic and vocational track</w:t>
      </w:r>
      <w:r w:rsidRPr="00877C84">
        <w:rPr>
          <w:color w:val="000000" w:themeColor="text1"/>
          <w:lang w:val="en-US"/>
        </w:rPr>
        <w:t xml:space="preserve">, </w:t>
      </w:r>
      <w:r>
        <w:rPr>
          <w:color w:val="000000" w:themeColor="text1"/>
          <w:lang w:val="en-US"/>
        </w:rPr>
        <w:t xml:space="preserve">but the rules of admission in higher education from each of them are different. Whereas access through academic track is explicitly meritocratic by means of central </w:t>
      </w:r>
      <w:r w:rsidRPr="00212544">
        <w:rPr>
          <w:color w:val="000000" w:themeColor="text1"/>
          <w:lang w:val="en-US"/>
        </w:rPr>
        <w:t>admission</w:t>
      </w:r>
      <w:r w:rsidRPr="00877C84">
        <w:rPr>
          <w:color w:val="000000" w:themeColor="text1"/>
          <w:lang w:val="en-US"/>
        </w:rPr>
        <w:t xml:space="preserve"> exam</w:t>
      </w:r>
      <w:r>
        <w:rPr>
          <w:color w:val="000000" w:themeColor="text1"/>
          <w:lang w:val="en-US"/>
        </w:rPr>
        <w:t xml:space="preserve">s aligned with secondary school curriculum, vocational track is generally less selective with regard to student intake, and yet allows less restrictive access to higher education. </w:t>
      </w:r>
      <w:r>
        <w:rPr>
          <w:lang w:val="en-US"/>
        </w:rPr>
        <w:t xml:space="preserve">We argue that this has ambiguous implications for social inequality: on the one hand, meritocratic forms of selection in the academic track disempower advantaged families in their ability to mobilize non-meritocratic resources for success of their children, while, on the other hand, in case of children’s likely failure they encourage them to predate on the opportunities, which were designed to facilitate educational mobility among children of less advantaged families (i.e. pathways enabling access to higher education through vocational programs). We test these conjectures and provide supportive evidence using data from the longitudinal survey </w:t>
      </w:r>
      <w:r w:rsidRPr="00212544">
        <w:rPr>
          <w:i/>
          <w:lang w:val="en-US"/>
        </w:rPr>
        <w:t>Trajectories in Education and Careers</w:t>
      </w:r>
      <w:r>
        <w:rPr>
          <w:lang w:val="en-US"/>
        </w:rPr>
        <w:t xml:space="preserve">. </w:t>
      </w:r>
    </w:p>
    <w:p w14:paraId="53AB97BB" w14:textId="77777777" w:rsidR="00BE5963" w:rsidRDefault="00BE5963" w:rsidP="00BE5963">
      <w:pPr>
        <w:spacing w:line="360" w:lineRule="auto"/>
        <w:ind w:firstLine="0"/>
        <w:rPr>
          <w:lang w:val="en-US"/>
        </w:rPr>
      </w:pPr>
    </w:p>
    <w:p w14:paraId="0EF74C8B" w14:textId="6990E155" w:rsidR="00136B2A" w:rsidRDefault="00BE5963" w:rsidP="00E90EB2">
      <w:pPr>
        <w:spacing w:line="360" w:lineRule="auto"/>
        <w:ind w:firstLine="0"/>
        <w:rPr>
          <w:lang w:val="en-US"/>
        </w:rPr>
      </w:pPr>
      <w:r w:rsidRPr="00E90EB2">
        <w:rPr>
          <w:i/>
          <w:lang w:val="en-US"/>
        </w:rPr>
        <w:t>Keywords:</w:t>
      </w:r>
      <w:r>
        <w:rPr>
          <w:lang w:val="en-US"/>
        </w:rPr>
        <w:t xml:space="preserve"> </w:t>
      </w:r>
      <w:r w:rsidR="00E90EB2" w:rsidRPr="00E90EB2">
        <w:rPr>
          <w:lang w:val="en-US"/>
        </w:rPr>
        <w:t>central examinations, compensatory advantage, educational tracking,</w:t>
      </w:r>
      <w:r w:rsidR="00E90EB2">
        <w:rPr>
          <w:lang w:val="en-US"/>
        </w:rPr>
        <w:t xml:space="preserve"> </w:t>
      </w:r>
      <w:r w:rsidR="00E90EB2" w:rsidRPr="00E90EB2">
        <w:rPr>
          <w:lang w:val="en-US"/>
        </w:rPr>
        <w:t>PISA, TIMSS, relative risk aversion, social inequality</w:t>
      </w:r>
    </w:p>
    <w:p w14:paraId="60D92433" w14:textId="77777777" w:rsidR="00771370" w:rsidRDefault="00771370" w:rsidP="00771370">
      <w:pPr>
        <w:rPr>
          <w:lang w:val="en-US"/>
        </w:rPr>
      </w:pPr>
    </w:p>
    <w:p w14:paraId="15AC2CC3" w14:textId="2BADDE6D" w:rsidR="00DF78B6" w:rsidRPr="003D6532" w:rsidRDefault="00DF78B6" w:rsidP="00DF78B6">
      <w:pPr>
        <w:pStyle w:val="Heading1"/>
        <w:rPr>
          <w:lang w:val="en-US"/>
        </w:rPr>
      </w:pPr>
      <w:r w:rsidRPr="003D6532">
        <w:rPr>
          <w:lang w:val="en-US"/>
        </w:rPr>
        <w:lastRenderedPageBreak/>
        <w:t>1. Introduction</w:t>
      </w:r>
    </w:p>
    <w:p w14:paraId="4A6DA4A3" w14:textId="42B5294A" w:rsidR="004744A2" w:rsidRPr="003D6532" w:rsidRDefault="00F26CC6">
      <w:pPr>
        <w:rPr>
          <w:lang w:val="en-US"/>
        </w:rPr>
      </w:pPr>
      <w:r>
        <w:rPr>
          <w:lang w:val="en-US"/>
        </w:rPr>
        <w:t>The o</w:t>
      </w:r>
      <w:r w:rsidR="004744A2" w:rsidRPr="003D6532">
        <w:rPr>
          <w:lang w:val="en-US"/>
        </w:rPr>
        <w:t xml:space="preserve">rganization of secondary education and its connection to the higher education </w:t>
      </w:r>
      <w:r w:rsidRPr="003D6532">
        <w:rPr>
          <w:lang w:val="en-US"/>
        </w:rPr>
        <w:t xml:space="preserve">system </w:t>
      </w:r>
      <w:r w:rsidR="004744A2" w:rsidRPr="003D6532">
        <w:rPr>
          <w:lang w:val="en-US"/>
        </w:rPr>
        <w:t xml:space="preserve">may have profound </w:t>
      </w:r>
      <w:r w:rsidR="00BF26CB" w:rsidRPr="003D6532">
        <w:rPr>
          <w:lang w:val="en-US"/>
        </w:rPr>
        <w:t xml:space="preserve">implications </w:t>
      </w:r>
      <w:r w:rsidR="00BF26CB">
        <w:rPr>
          <w:lang w:val="en-US"/>
        </w:rPr>
        <w:t xml:space="preserve">for </w:t>
      </w:r>
      <w:r w:rsidR="004744A2" w:rsidRPr="003D6532">
        <w:rPr>
          <w:lang w:val="en-US"/>
        </w:rPr>
        <w:t xml:space="preserve">inequality </w:t>
      </w:r>
      <w:r>
        <w:rPr>
          <w:lang w:val="en-US"/>
        </w:rPr>
        <w:t xml:space="preserve">in </w:t>
      </w:r>
      <w:r w:rsidR="004744A2" w:rsidRPr="003D6532">
        <w:rPr>
          <w:lang w:val="en-US"/>
        </w:rPr>
        <w:t>educational and labor market outcomes</w:t>
      </w:r>
      <w:r w:rsidR="005667BB" w:rsidRPr="003D6532">
        <w:rPr>
          <w:lang w:val="en-US"/>
        </w:rPr>
        <w:t xml:space="preserve"> </w:t>
      </w:r>
      <w:r w:rsidR="0042477D" w:rsidRPr="003D6532">
        <w:rPr>
          <w:rFonts w:cs="Times New Roman"/>
          <w:szCs w:val="24"/>
          <w:lang w:val="en-US"/>
        </w:rPr>
        <w:t>(</w:t>
      </w:r>
      <w:proofErr w:type="spellStart"/>
      <w:r w:rsidR="0042477D" w:rsidRPr="003D6532">
        <w:rPr>
          <w:rFonts w:cs="Times New Roman"/>
          <w:szCs w:val="24"/>
          <w:lang w:val="en-US"/>
        </w:rPr>
        <w:t>Allmendinger</w:t>
      </w:r>
      <w:proofErr w:type="spellEnd"/>
      <w:r w:rsidR="0042477D" w:rsidRPr="003D6532">
        <w:rPr>
          <w:rFonts w:cs="Times New Roman"/>
          <w:szCs w:val="24"/>
          <w:lang w:val="en-US"/>
        </w:rPr>
        <w:t xml:space="preserve"> 1989; </w:t>
      </w:r>
      <w:proofErr w:type="spellStart"/>
      <w:r w:rsidR="0042477D" w:rsidRPr="003D6532">
        <w:rPr>
          <w:rFonts w:cs="Times New Roman"/>
          <w:szCs w:val="24"/>
          <w:lang w:val="en-US"/>
        </w:rPr>
        <w:t>Shavit</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Blossfeld</w:t>
      </w:r>
      <w:proofErr w:type="spellEnd"/>
      <w:r w:rsidR="0042477D" w:rsidRPr="003D6532">
        <w:rPr>
          <w:rFonts w:cs="Times New Roman"/>
          <w:szCs w:val="24"/>
          <w:lang w:val="en-US"/>
        </w:rPr>
        <w:t xml:space="preserve"> 1993; </w:t>
      </w:r>
      <w:proofErr w:type="spellStart"/>
      <w:r w:rsidR="0042477D" w:rsidRPr="003D6532">
        <w:rPr>
          <w:rFonts w:cs="Times New Roman"/>
          <w:szCs w:val="24"/>
          <w:lang w:val="en-US"/>
        </w:rPr>
        <w:t>Shavit</w:t>
      </w:r>
      <w:proofErr w:type="spellEnd"/>
      <w:r w:rsidR="0042477D" w:rsidRPr="003D6532">
        <w:rPr>
          <w:rFonts w:cs="Times New Roman"/>
          <w:szCs w:val="24"/>
          <w:lang w:val="en-US"/>
        </w:rPr>
        <w:t xml:space="preserve">, Müller, and Tame 1998; </w:t>
      </w:r>
      <w:proofErr w:type="spellStart"/>
      <w:r w:rsidR="0042477D" w:rsidRPr="003D6532">
        <w:rPr>
          <w:rFonts w:cs="Times New Roman"/>
          <w:szCs w:val="24"/>
          <w:lang w:val="en-US"/>
        </w:rPr>
        <w:t>Werfhorst</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Mijs</w:t>
      </w:r>
      <w:proofErr w:type="spellEnd"/>
      <w:r w:rsidR="0042477D" w:rsidRPr="003D6532">
        <w:rPr>
          <w:rFonts w:cs="Times New Roman"/>
          <w:szCs w:val="24"/>
          <w:lang w:val="en-US"/>
        </w:rPr>
        <w:t xml:space="preserve"> 2010)</w:t>
      </w:r>
      <w:r w:rsidR="004744A2" w:rsidRPr="003D6532">
        <w:rPr>
          <w:lang w:val="en-US"/>
        </w:rPr>
        <w:t xml:space="preserve">. This is particularly true of tracked educational systems, in which students are sorted into different educational tracks </w:t>
      </w:r>
      <w:r>
        <w:rPr>
          <w:lang w:val="en-US"/>
        </w:rPr>
        <w:t xml:space="preserve">so that </w:t>
      </w:r>
      <w:r w:rsidR="004744A2" w:rsidRPr="003D6532">
        <w:rPr>
          <w:lang w:val="en-US"/>
        </w:rPr>
        <w:t>a more efficient match between their aptitude and heterogeneous educational environments</w:t>
      </w:r>
      <w:r>
        <w:rPr>
          <w:lang w:val="en-US"/>
        </w:rPr>
        <w:t xml:space="preserve"> can be obtained</w:t>
      </w:r>
      <w:r w:rsidR="004744A2" w:rsidRPr="003D6532">
        <w:rPr>
          <w:lang w:val="en-US"/>
        </w:rPr>
        <w:t xml:space="preserve">. However, while it is still a matter of debate </w:t>
      </w:r>
      <w:r w:rsidR="00445456" w:rsidRPr="003D6532">
        <w:rPr>
          <w:lang w:val="en-US"/>
        </w:rPr>
        <w:t>whether</w:t>
      </w:r>
      <w:r w:rsidR="004744A2" w:rsidRPr="003D6532">
        <w:rPr>
          <w:lang w:val="en-US"/>
        </w:rPr>
        <w:t xml:space="preserve"> such systems are more efficient than comprehensive ones in terms of average educational gains</w:t>
      </w:r>
      <w:r w:rsidR="00BB57C3" w:rsidRPr="003D6532">
        <w:rPr>
          <w:lang w:val="en-US"/>
        </w:rPr>
        <w:t xml:space="preserve"> </w:t>
      </w:r>
      <w:r w:rsidR="0042477D" w:rsidRPr="003D6532">
        <w:rPr>
          <w:rFonts w:cs="Times New Roman"/>
          <w:szCs w:val="24"/>
          <w:lang w:val="en-US"/>
        </w:rPr>
        <w:t>(</w:t>
      </w:r>
      <w:proofErr w:type="spellStart"/>
      <w:r w:rsidR="0042477D" w:rsidRPr="003D6532">
        <w:rPr>
          <w:rFonts w:cs="Times New Roman"/>
          <w:szCs w:val="24"/>
          <w:lang w:val="en-US"/>
        </w:rPr>
        <w:t>Gamoran</w:t>
      </w:r>
      <w:proofErr w:type="spellEnd"/>
      <w:r w:rsidR="0042477D" w:rsidRPr="003D6532">
        <w:rPr>
          <w:rFonts w:cs="Times New Roman"/>
          <w:szCs w:val="24"/>
          <w:lang w:val="en-US"/>
        </w:rPr>
        <w:t xml:space="preserve"> 1992; </w:t>
      </w:r>
      <w:proofErr w:type="spellStart"/>
      <w:r w:rsidR="0042477D" w:rsidRPr="003D6532">
        <w:rPr>
          <w:rFonts w:cs="Times New Roman"/>
          <w:szCs w:val="24"/>
          <w:lang w:val="en-US"/>
        </w:rPr>
        <w:t>Hanushek</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Wößmann</w:t>
      </w:r>
      <w:proofErr w:type="spellEnd"/>
      <w:r w:rsidR="0042477D" w:rsidRPr="003D6532">
        <w:rPr>
          <w:rFonts w:cs="Times New Roman"/>
          <w:szCs w:val="24"/>
          <w:lang w:val="en-US"/>
        </w:rPr>
        <w:t xml:space="preserve"> 2006; </w:t>
      </w:r>
      <w:proofErr w:type="spellStart"/>
      <w:r w:rsidR="0042477D" w:rsidRPr="003D6532">
        <w:rPr>
          <w:rFonts w:cs="Times New Roman"/>
          <w:szCs w:val="24"/>
          <w:lang w:val="en-US"/>
        </w:rPr>
        <w:t>Pekkala</w:t>
      </w:r>
      <w:proofErr w:type="spellEnd"/>
      <w:r w:rsidR="0042477D" w:rsidRPr="003D6532">
        <w:rPr>
          <w:rFonts w:cs="Times New Roman"/>
          <w:szCs w:val="24"/>
          <w:lang w:val="en-US"/>
        </w:rPr>
        <w:t xml:space="preserve"> Kerr, </w:t>
      </w:r>
      <w:proofErr w:type="spellStart"/>
      <w:r w:rsidR="0042477D" w:rsidRPr="003D6532">
        <w:rPr>
          <w:rFonts w:cs="Times New Roman"/>
          <w:szCs w:val="24"/>
          <w:lang w:val="en-US"/>
        </w:rPr>
        <w:t>Pekkarinen</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Uusitalo</w:t>
      </w:r>
      <w:proofErr w:type="spellEnd"/>
      <w:r w:rsidR="0042477D" w:rsidRPr="003D6532">
        <w:rPr>
          <w:rFonts w:cs="Times New Roman"/>
          <w:szCs w:val="24"/>
          <w:lang w:val="en-US"/>
        </w:rPr>
        <w:t xml:space="preserve"> 2013)</w:t>
      </w:r>
      <w:r w:rsidR="004744A2" w:rsidRPr="003D6532">
        <w:rPr>
          <w:lang w:val="en-US"/>
        </w:rPr>
        <w:t xml:space="preserve">, there is much more consensus </w:t>
      </w:r>
      <w:r>
        <w:rPr>
          <w:lang w:val="en-US"/>
        </w:rPr>
        <w:t xml:space="preserve">about whether </w:t>
      </w:r>
      <w:r w:rsidR="004744A2" w:rsidRPr="003D6532">
        <w:rPr>
          <w:lang w:val="en-US"/>
        </w:rPr>
        <w:t xml:space="preserve">they promote </w:t>
      </w:r>
      <w:r>
        <w:rPr>
          <w:lang w:val="en-US"/>
        </w:rPr>
        <w:t xml:space="preserve">greater </w:t>
      </w:r>
      <w:r w:rsidR="004744A2" w:rsidRPr="003D6532">
        <w:rPr>
          <w:lang w:val="en-US"/>
        </w:rPr>
        <w:t xml:space="preserve">inequality </w:t>
      </w:r>
      <w:r>
        <w:rPr>
          <w:lang w:val="en-US"/>
        </w:rPr>
        <w:t xml:space="preserve">in </w:t>
      </w:r>
      <w:r w:rsidR="004744A2" w:rsidRPr="003D6532">
        <w:rPr>
          <w:lang w:val="en-US"/>
        </w:rPr>
        <w:t>educational outcomes</w:t>
      </w:r>
      <w:r>
        <w:rPr>
          <w:lang w:val="en-US"/>
        </w:rPr>
        <w:t xml:space="preserve"> </w:t>
      </w:r>
      <w:r w:rsidR="004744A2" w:rsidRPr="003D6532">
        <w:rPr>
          <w:lang w:val="en-US"/>
        </w:rPr>
        <w:t>in general</w:t>
      </w:r>
      <w:r>
        <w:rPr>
          <w:lang w:val="en-US"/>
        </w:rPr>
        <w:t xml:space="preserve"> </w:t>
      </w:r>
      <w:r w:rsidR="004744A2" w:rsidRPr="003D6532">
        <w:rPr>
          <w:lang w:val="en-US"/>
        </w:rPr>
        <w:t>and inequalities associated with students’ social background</w:t>
      </w:r>
      <w:r>
        <w:rPr>
          <w:lang w:val="en-US"/>
        </w:rPr>
        <w:t xml:space="preserve"> </w:t>
      </w:r>
      <w:r w:rsidR="004744A2" w:rsidRPr="003D6532">
        <w:rPr>
          <w:lang w:val="en-US"/>
        </w:rPr>
        <w:t>in particular</w:t>
      </w:r>
      <w:r w:rsidR="003051F8" w:rsidRPr="003D6532">
        <w:rPr>
          <w:lang w:val="en-US"/>
        </w:rPr>
        <w:t xml:space="preserve"> </w:t>
      </w:r>
      <w:r w:rsidR="0042477D" w:rsidRPr="003D6532">
        <w:rPr>
          <w:rFonts w:cs="Times New Roman"/>
          <w:lang w:val="en-US"/>
        </w:rPr>
        <w:t>(</w:t>
      </w:r>
      <w:proofErr w:type="spellStart"/>
      <w:r w:rsidR="0042477D" w:rsidRPr="003D6532">
        <w:rPr>
          <w:rFonts w:cs="Times New Roman"/>
          <w:lang w:val="en-US"/>
        </w:rPr>
        <w:t>Gamoran</w:t>
      </w:r>
      <w:proofErr w:type="spellEnd"/>
      <w:r w:rsidR="0042477D" w:rsidRPr="003D6532">
        <w:rPr>
          <w:rFonts w:cs="Times New Roman"/>
          <w:lang w:val="en-US"/>
        </w:rPr>
        <w:t xml:space="preserve"> and Mare 1989; Lucas 2001; </w:t>
      </w:r>
      <w:proofErr w:type="spellStart"/>
      <w:r w:rsidR="0042477D" w:rsidRPr="003D6532">
        <w:rPr>
          <w:rFonts w:cs="Times New Roman"/>
          <w:lang w:val="en-US"/>
        </w:rPr>
        <w:t>Meghir</w:t>
      </w:r>
      <w:proofErr w:type="spellEnd"/>
      <w:r w:rsidR="0042477D" w:rsidRPr="003D6532">
        <w:rPr>
          <w:rFonts w:cs="Times New Roman"/>
          <w:lang w:val="en-US"/>
        </w:rPr>
        <w:t xml:space="preserve"> and Palme 2005; Oakes 2005; </w:t>
      </w:r>
      <w:proofErr w:type="spellStart"/>
      <w:r w:rsidR="0042477D" w:rsidRPr="003D6532">
        <w:rPr>
          <w:rFonts w:cs="Times New Roman"/>
          <w:lang w:val="en-US"/>
        </w:rPr>
        <w:t>Brunello</w:t>
      </w:r>
      <w:proofErr w:type="spellEnd"/>
      <w:r w:rsidR="0042477D" w:rsidRPr="003D6532">
        <w:rPr>
          <w:rFonts w:cs="Times New Roman"/>
          <w:lang w:val="en-US"/>
        </w:rPr>
        <w:t xml:space="preserve"> and </w:t>
      </w:r>
      <w:proofErr w:type="spellStart"/>
      <w:r w:rsidR="0042477D" w:rsidRPr="003D6532">
        <w:rPr>
          <w:rFonts w:cs="Times New Roman"/>
          <w:lang w:val="en-US"/>
        </w:rPr>
        <w:t>Checchi</w:t>
      </w:r>
      <w:proofErr w:type="spellEnd"/>
      <w:r w:rsidR="0042477D" w:rsidRPr="003D6532">
        <w:rPr>
          <w:rFonts w:cs="Times New Roman"/>
          <w:lang w:val="en-US"/>
        </w:rPr>
        <w:t xml:space="preserve"> 2007)</w:t>
      </w:r>
      <w:r w:rsidR="004744A2" w:rsidRPr="003D6532">
        <w:rPr>
          <w:lang w:val="en-US"/>
        </w:rPr>
        <w:t>. Thus, even regardless of the possible economic virtues of educational tracking</w:t>
      </w:r>
      <w:r>
        <w:rPr>
          <w:lang w:val="en-US"/>
        </w:rPr>
        <w:t>,</w:t>
      </w:r>
      <w:r w:rsidR="004744A2" w:rsidRPr="003D6532">
        <w:rPr>
          <w:lang w:val="en-US"/>
        </w:rPr>
        <w:t xml:space="preserve"> the </w:t>
      </w:r>
      <w:r>
        <w:rPr>
          <w:lang w:val="en-US"/>
        </w:rPr>
        <w:t xml:space="preserve">potential </w:t>
      </w:r>
      <w:r w:rsidR="004744A2" w:rsidRPr="003D6532">
        <w:rPr>
          <w:lang w:val="en-US"/>
        </w:rPr>
        <w:t>soci</w:t>
      </w:r>
      <w:r w:rsidR="003635FF" w:rsidRPr="003D6532">
        <w:rPr>
          <w:lang w:val="en-US"/>
        </w:rPr>
        <w:t xml:space="preserve">al inequalities </w:t>
      </w:r>
      <w:r>
        <w:rPr>
          <w:lang w:val="en-US"/>
        </w:rPr>
        <w:t xml:space="preserve">that it promotes </w:t>
      </w:r>
      <w:r w:rsidR="003635FF" w:rsidRPr="003D6532">
        <w:rPr>
          <w:lang w:val="en-US"/>
        </w:rPr>
        <w:t xml:space="preserve">can be </w:t>
      </w:r>
      <w:r>
        <w:rPr>
          <w:lang w:val="en-US"/>
        </w:rPr>
        <w:t xml:space="preserve">considered a </w:t>
      </w:r>
      <w:r w:rsidR="004744A2" w:rsidRPr="003D6532">
        <w:rPr>
          <w:lang w:val="en-US"/>
        </w:rPr>
        <w:t>particularly undesirable side effect.</w:t>
      </w:r>
    </w:p>
    <w:p w14:paraId="618B11A5" w14:textId="3ECD484A" w:rsidR="00CD1FC2" w:rsidRPr="003D6532" w:rsidRDefault="007613F4" w:rsidP="006E464E">
      <w:pPr>
        <w:rPr>
          <w:lang w:val="en-US"/>
        </w:rPr>
      </w:pPr>
      <w:r w:rsidRPr="003D6532">
        <w:rPr>
          <w:lang w:val="en-US"/>
        </w:rPr>
        <w:t xml:space="preserve">There </w:t>
      </w:r>
      <w:r w:rsidR="00F26CC6">
        <w:rPr>
          <w:lang w:val="en-US"/>
        </w:rPr>
        <w:t xml:space="preserve">are </w:t>
      </w:r>
      <w:r w:rsidRPr="003D6532">
        <w:rPr>
          <w:lang w:val="en-US"/>
        </w:rPr>
        <w:t>at least</w:t>
      </w:r>
      <w:r w:rsidR="00F26CC6">
        <w:rPr>
          <w:lang w:val="en-US"/>
        </w:rPr>
        <w:t xml:space="preserve"> </w:t>
      </w:r>
      <w:r w:rsidRPr="003D6532">
        <w:rPr>
          <w:lang w:val="en-US"/>
        </w:rPr>
        <w:t>two</w:t>
      </w:r>
      <w:r w:rsidR="006E32AC" w:rsidRPr="003D6532">
        <w:rPr>
          <w:lang w:val="en-US"/>
        </w:rPr>
        <w:t xml:space="preserve"> </w:t>
      </w:r>
      <w:r w:rsidR="00C74510" w:rsidRPr="003D6532">
        <w:rPr>
          <w:lang w:val="en-US"/>
        </w:rPr>
        <w:t>types of</w:t>
      </w:r>
      <w:r w:rsidR="00525BFD" w:rsidRPr="003D6532">
        <w:rPr>
          <w:lang w:val="en-US"/>
        </w:rPr>
        <w:t xml:space="preserve"> </w:t>
      </w:r>
      <w:r w:rsidR="00C74510" w:rsidRPr="003D6532">
        <w:rPr>
          <w:lang w:val="en-US"/>
        </w:rPr>
        <w:t xml:space="preserve">policies </w:t>
      </w:r>
      <w:r w:rsidR="00F26CC6">
        <w:rPr>
          <w:lang w:val="en-US"/>
        </w:rPr>
        <w:t xml:space="preserve">for </w:t>
      </w:r>
      <w:r w:rsidR="00525BFD" w:rsidRPr="003D6532">
        <w:rPr>
          <w:lang w:val="en-US"/>
        </w:rPr>
        <w:t xml:space="preserve">coping with </w:t>
      </w:r>
      <w:r w:rsidR="00C7215B" w:rsidRPr="003D6532">
        <w:rPr>
          <w:lang w:val="en-US"/>
        </w:rPr>
        <w:t>inequalities</w:t>
      </w:r>
      <w:r w:rsidR="00525BFD" w:rsidRPr="003D6532">
        <w:rPr>
          <w:lang w:val="en-US"/>
        </w:rPr>
        <w:t xml:space="preserve"> in tracked educational systems</w:t>
      </w:r>
      <w:r w:rsidRPr="003D6532">
        <w:rPr>
          <w:lang w:val="en-US"/>
        </w:rPr>
        <w:t xml:space="preserve">. This first </w:t>
      </w:r>
      <w:r w:rsidR="00F26CC6">
        <w:rPr>
          <w:lang w:val="en-US"/>
        </w:rPr>
        <w:t xml:space="preserve">involves the </w:t>
      </w:r>
      <w:r w:rsidRPr="003D6532">
        <w:rPr>
          <w:lang w:val="en-US"/>
        </w:rPr>
        <w:t>introduction of strong principles of meritocratic selection</w:t>
      </w:r>
      <w:r w:rsidR="0082034A" w:rsidRPr="003D6532">
        <w:rPr>
          <w:lang w:val="en-US"/>
        </w:rPr>
        <w:t xml:space="preserve"> in different types of education</w:t>
      </w:r>
      <w:r w:rsidR="00432BFC" w:rsidRPr="003D6532">
        <w:rPr>
          <w:lang w:val="en-US"/>
        </w:rPr>
        <w:t xml:space="preserve"> and </w:t>
      </w:r>
      <w:r w:rsidR="00F26CC6">
        <w:rPr>
          <w:lang w:val="en-US"/>
        </w:rPr>
        <w:t xml:space="preserve">the </w:t>
      </w:r>
      <w:r w:rsidR="00432BFC" w:rsidRPr="003D6532">
        <w:rPr>
          <w:lang w:val="en-US"/>
        </w:rPr>
        <w:t>promotion of corresponding incentives among students</w:t>
      </w:r>
      <w:r w:rsidR="006E32AC" w:rsidRPr="003D6532">
        <w:rPr>
          <w:lang w:val="en-US"/>
        </w:rPr>
        <w:t xml:space="preserve">, which can be achieved through </w:t>
      </w:r>
      <w:r w:rsidR="00F26CC6">
        <w:rPr>
          <w:lang w:val="en-US"/>
        </w:rPr>
        <w:t xml:space="preserve">the </w:t>
      </w:r>
      <w:r w:rsidR="006E32AC" w:rsidRPr="003D6532">
        <w:rPr>
          <w:lang w:val="en-US"/>
        </w:rPr>
        <w:t>standardization of examination procedures and their harmonization with educational curricula</w:t>
      </w:r>
      <w:r w:rsidR="00432BFC" w:rsidRPr="003D6532">
        <w:rPr>
          <w:lang w:val="en-US"/>
        </w:rPr>
        <w:t xml:space="preserve"> </w:t>
      </w:r>
      <w:r w:rsidR="0042477D" w:rsidRPr="003D6532">
        <w:rPr>
          <w:rFonts w:cs="Times New Roman"/>
          <w:lang w:val="en-US"/>
        </w:rPr>
        <w:t>(</w:t>
      </w:r>
      <w:proofErr w:type="spellStart"/>
      <w:r w:rsidR="0042477D" w:rsidRPr="003D6532">
        <w:rPr>
          <w:rFonts w:cs="Times New Roman"/>
          <w:lang w:val="en-US"/>
        </w:rPr>
        <w:t>Ayalon</w:t>
      </w:r>
      <w:proofErr w:type="spellEnd"/>
      <w:r w:rsidR="0042477D" w:rsidRPr="003D6532">
        <w:rPr>
          <w:rFonts w:cs="Times New Roman"/>
          <w:lang w:val="en-US"/>
        </w:rPr>
        <w:t xml:space="preserve"> and </w:t>
      </w:r>
      <w:proofErr w:type="spellStart"/>
      <w:r w:rsidR="0042477D" w:rsidRPr="003D6532">
        <w:rPr>
          <w:rFonts w:cs="Times New Roman"/>
          <w:lang w:val="en-US"/>
        </w:rPr>
        <w:t>Gamoran</w:t>
      </w:r>
      <w:proofErr w:type="spellEnd"/>
      <w:r w:rsidR="0042477D" w:rsidRPr="003D6532">
        <w:rPr>
          <w:rFonts w:cs="Times New Roman"/>
          <w:lang w:val="en-US"/>
        </w:rPr>
        <w:t xml:space="preserve"> 2000; </w:t>
      </w:r>
      <w:proofErr w:type="spellStart"/>
      <w:r w:rsidR="0042477D" w:rsidRPr="003D6532">
        <w:rPr>
          <w:rFonts w:cs="Times New Roman"/>
          <w:lang w:val="en-US"/>
        </w:rPr>
        <w:t>Bol</w:t>
      </w:r>
      <w:proofErr w:type="spellEnd"/>
      <w:r w:rsidR="0042477D" w:rsidRPr="003D6532">
        <w:rPr>
          <w:rFonts w:cs="Times New Roman"/>
          <w:lang w:val="en-US"/>
        </w:rPr>
        <w:t xml:space="preserve"> et al. 2014)</w:t>
      </w:r>
      <w:r w:rsidR="006E32AC" w:rsidRPr="003D6532">
        <w:rPr>
          <w:lang w:val="en-US"/>
        </w:rPr>
        <w:t xml:space="preserve">. The second </w:t>
      </w:r>
      <w:r w:rsidR="00C74510" w:rsidRPr="003D6532">
        <w:rPr>
          <w:lang w:val="en-US"/>
        </w:rPr>
        <w:t xml:space="preserve">type of policy </w:t>
      </w:r>
      <w:r w:rsidR="00F26CC6">
        <w:rPr>
          <w:lang w:val="en-US"/>
        </w:rPr>
        <w:t>involves the</w:t>
      </w:r>
      <w:r w:rsidR="00525BFD" w:rsidRPr="003D6532">
        <w:rPr>
          <w:lang w:val="en-US"/>
        </w:rPr>
        <w:t xml:space="preserve"> facilitation of</w:t>
      </w:r>
      <w:r w:rsidR="00C7215B" w:rsidRPr="003D6532">
        <w:rPr>
          <w:lang w:val="en-US"/>
        </w:rPr>
        <w:t xml:space="preserve"> </w:t>
      </w:r>
      <w:r w:rsidR="0082034A" w:rsidRPr="003D6532">
        <w:rPr>
          <w:lang w:val="en-US"/>
        </w:rPr>
        <w:t>transitions between different types of education</w:t>
      </w:r>
      <w:r w:rsidR="00CD1FC2" w:rsidRPr="003D6532">
        <w:rPr>
          <w:rStyle w:val="EndnoteReference"/>
          <w:lang w:val="en-US"/>
        </w:rPr>
        <w:endnoteReference w:id="2"/>
      </w:r>
      <w:r w:rsidR="00CD1FC2" w:rsidRPr="003D6532">
        <w:rPr>
          <w:lang w:val="en-US"/>
        </w:rPr>
        <w:t>, i.e.</w:t>
      </w:r>
      <w:r w:rsidR="00CD1FC2">
        <w:rPr>
          <w:lang w:val="en-US"/>
        </w:rPr>
        <w:t>,</w:t>
      </w:r>
      <w:r w:rsidR="00CD1FC2" w:rsidRPr="003D6532">
        <w:rPr>
          <w:lang w:val="en-US"/>
        </w:rPr>
        <w:t xml:space="preserve"> </w:t>
      </w:r>
      <w:r w:rsidR="00CD1FC2">
        <w:rPr>
          <w:lang w:val="en-US"/>
        </w:rPr>
        <w:t xml:space="preserve">by </w:t>
      </w:r>
      <w:r w:rsidR="00CD1FC2" w:rsidRPr="003D6532">
        <w:rPr>
          <w:lang w:val="en-US"/>
        </w:rPr>
        <w:t xml:space="preserve">providing children and families with the opportunity to reconsider earlier educational choices that would otherwise lead to destined educational careers </w:t>
      </w:r>
      <w:r w:rsidR="00CD1FC2" w:rsidRPr="003D6532">
        <w:rPr>
          <w:rFonts w:cs="Times New Roman"/>
          <w:lang w:val="en-US"/>
        </w:rPr>
        <w:t xml:space="preserve">(Field, </w:t>
      </w:r>
      <w:proofErr w:type="spellStart"/>
      <w:r w:rsidR="00CD1FC2" w:rsidRPr="003D6532">
        <w:rPr>
          <w:rFonts w:cs="Times New Roman"/>
          <w:lang w:val="en-US"/>
        </w:rPr>
        <w:t>Kuczera</w:t>
      </w:r>
      <w:proofErr w:type="spellEnd"/>
      <w:r w:rsidR="00CD1FC2" w:rsidRPr="003D6532">
        <w:rPr>
          <w:rFonts w:cs="Times New Roman"/>
          <w:lang w:val="en-US"/>
        </w:rPr>
        <w:t>, and Pont 2007; Holm et al. 2013)</w:t>
      </w:r>
      <w:r w:rsidR="00CD1FC2" w:rsidRPr="003D6532">
        <w:rPr>
          <w:lang w:val="en-US"/>
        </w:rPr>
        <w:t xml:space="preserve">. In light of educational expansion in many developed nations, boosted by increasing demand for higher education, facilitating transitions from </w:t>
      </w:r>
      <w:r w:rsidR="00CD1FC2" w:rsidRPr="003D6532">
        <w:rPr>
          <w:lang w:val="en-US"/>
        </w:rPr>
        <w:lastRenderedPageBreak/>
        <w:t xml:space="preserve">vocational education to higher education is increasingly becoming one of such policies </w:t>
      </w:r>
      <w:r w:rsidR="00CD1FC2" w:rsidRPr="003D6532">
        <w:rPr>
          <w:rFonts w:cs="Times New Roman"/>
          <w:lang w:val="en-US"/>
        </w:rPr>
        <w:t>(</w:t>
      </w:r>
      <w:proofErr w:type="spellStart"/>
      <w:r w:rsidR="00CD1FC2" w:rsidRPr="003D6532">
        <w:rPr>
          <w:rFonts w:cs="Times New Roman"/>
          <w:lang w:val="en-US"/>
        </w:rPr>
        <w:t>Bandias</w:t>
      </w:r>
      <w:proofErr w:type="spellEnd"/>
      <w:r w:rsidR="00CD1FC2" w:rsidRPr="003D6532">
        <w:rPr>
          <w:rFonts w:cs="Times New Roman"/>
          <w:lang w:val="en-US"/>
        </w:rPr>
        <w:t xml:space="preserve">, Fuller, and </w:t>
      </w:r>
      <w:proofErr w:type="spellStart"/>
      <w:r w:rsidR="00CD1FC2" w:rsidRPr="003D6532">
        <w:rPr>
          <w:rFonts w:cs="Times New Roman"/>
          <w:lang w:val="en-US"/>
        </w:rPr>
        <w:t>Pfitzner</w:t>
      </w:r>
      <w:proofErr w:type="spellEnd"/>
      <w:r w:rsidR="00CD1FC2" w:rsidRPr="003D6532">
        <w:rPr>
          <w:rFonts w:cs="Times New Roman"/>
          <w:lang w:val="en-US"/>
        </w:rPr>
        <w:t xml:space="preserve"> 2011; </w:t>
      </w:r>
      <w:proofErr w:type="spellStart"/>
      <w:r w:rsidR="00CD1FC2" w:rsidRPr="003D6532">
        <w:rPr>
          <w:rFonts w:cs="Times New Roman"/>
          <w:lang w:val="en-US"/>
        </w:rPr>
        <w:t>Pilz</w:t>
      </w:r>
      <w:proofErr w:type="spellEnd"/>
      <w:r w:rsidR="00CD1FC2" w:rsidRPr="003D6532">
        <w:rPr>
          <w:rFonts w:cs="Times New Roman"/>
          <w:lang w:val="en-US"/>
        </w:rPr>
        <w:t xml:space="preserve"> 2012)</w:t>
      </w:r>
      <w:r w:rsidR="00CD1FC2" w:rsidRPr="003D6532">
        <w:rPr>
          <w:lang w:val="en-US"/>
        </w:rPr>
        <w:t>.</w:t>
      </w:r>
    </w:p>
    <w:p w14:paraId="5CA0E76C" w14:textId="1602363E" w:rsidR="00CD1FC2" w:rsidRPr="003D6532" w:rsidRDefault="00CD1FC2" w:rsidP="00F62EDC">
      <w:pPr>
        <w:rPr>
          <w:lang w:val="en-US"/>
        </w:rPr>
      </w:pPr>
      <w:r w:rsidRPr="003D6532">
        <w:rPr>
          <w:lang w:val="en-US"/>
        </w:rPr>
        <w:t>In this article, we argue that a combination of such policies may have ambiguous implications for inequality in access to higher education. On the one hand, standardized curricul</w:t>
      </w:r>
      <w:r>
        <w:rPr>
          <w:lang w:val="en-US"/>
        </w:rPr>
        <w:t>a</w:t>
      </w:r>
      <w:r w:rsidRPr="003D6532">
        <w:rPr>
          <w:lang w:val="en-US"/>
        </w:rPr>
        <w:t xml:space="preserve"> and examinations may disempower advantaged families in their ability to mobilize non-meritocratic resources for the best of their children. On the other hand, </w:t>
      </w:r>
      <w:r>
        <w:rPr>
          <w:lang w:val="en-US"/>
        </w:rPr>
        <w:t xml:space="preserve">they </w:t>
      </w:r>
      <w:r w:rsidRPr="003D6532">
        <w:rPr>
          <w:lang w:val="en-US"/>
        </w:rPr>
        <w:t xml:space="preserve">might </w:t>
      </w:r>
      <w:r>
        <w:rPr>
          <w:lang w:val="en-US"/>
        </w:rPr>
        <w:t>also</w:t>
      </w:r>
      <w:r w:rsidRPr="003D6532">
        <w:rPr>
          <w:lang w:val="en-US"/>
        </w:rPr>
        <w:t xml:space="preserve"> encourage them to capture the opportunities</w:t>
      </w:r>
      <w:r>
        <w:rPr>
          <w:lang w:val="en-US"/>
        </w:rPr>
        <w:t xml:space="preserve"> that </w:t>
      </w:r>
      <w:r w:rsidRPr="003D6532">
        <w:rPr>
          <w:lang w:val="en-US"/>
        </w:rPr>
        <w:t xml:space="preserve">were designed to facilitate educational mobility among children </w:t>
      </w:r>
      <w:r>
        <w:rPr>
          <w:lang w:val="en-US"/>
        </w:rPr>
        <w:t xml:space="preserve">from </w:t>
      </w:r>
      <w:r w:rsidRPr="003D6532">
        <w:rPr>
          <w:lang w:val="en-US"/>
        </w:rPr>
        <w:t xml:space="preserve">less advantaged families, such as pathways enabling access to higher education through vocational programs. We test </w:t>
      </w:r>
      <w:r>
        <w:rPr>
          <w:lang w:val="en-US"/>
        </w:rPr>
        <w:t xml:space="preserve">this </w:t>
      </w:r>
      <w:r w:rsidRPr="003D6532">
        <w:rPr>
          <w:lang w:val="en-US"/>
        </w:rPr>
        <w:t xml:space="preserve">conjecture in the context of Russia’s educational system, which implements a particular combination of both types of policies. The first one is the Unified State Examination (USE) – a central exit exam – which serves to evaluate the academic aptitude of secondary school graduates (analogous to </w:t>
      </w:r>
      <w:r>
        <w:rPr>
          <w:lang w:val="en-US"/>
        </w:rPr>
        <w:t xml:space="preserve">the </w:t>
      </w:r>
      <w:r w:rsidRPr="003D6532">
        <w:rPr>
          <w:lang w:val="en-US"/>
        </w:rPr>
        <w:t xml:space="preserve">American SAT and German </w:t>
      </w:r>
      <w:proofErr w:type="spellStart"/>
      <w:r w:rsidRPr="003D6532">
        <w:rPr>
          <w:lang w:val="en-US"/>
        </w:rPr>
        <w:t>Abitur</w:t>
      </w:r>
      <w:proofErr w:type="spellEnd"/>
      <w:r w:rsidRPr="003D6532">
        <w:rPr>
          <w:lang w:val="en-US"/>
        </w:rPr>
        <w:t xml:space="preserve">) in correspondence with </w:t>
      </w:r>
      <w:r>
        <w:rPr>
          <w:lang w:val="en-US"/>
        </w:rPr>
        <w:t xml:space="preserve">a </w:t>
      </w:r>
      <w:r w:rsidRPr="003D6532">
        <w:rPr>
          <w:lang w:val="en-US"/>
        </w:rPr>
        <w:t>highly standardized school curriculum. The USE is also the primary criterion for selection in higher education programs</w:t>
      </w:r>
      <w:r>
        <w:rPr>
          <w:lang w:val="en-US"/>
        </w:rPr>
        <w:t>,</w:t>
      </w:r>
      <w:r w:rsidRPr="003D6532">
        <w:rPr>
          <w:lang w:val="en-US"/>
        </w:rPr>
        <w:t xml:space="preserve"> and it is obligatory for all school graduates seeking to access higher education via </w:t>
      </w:r>
      <w:r>
        <w:rPr>
          <w:lang w:val="en-US"/>
        </w:rPr>
        <w:t xml:space="preserve">the </w:t>
      </w:r>
      <w:r w:rsidRPr="003D6532">
        <w:rPr>
          <w:lang w:val="en-US"/>
        </w:rPr>
        <w:t xml:space="preserve">traditional academic track (henceforth, </w:t>
      </w:r>
      <w:r w:rsidRPr="003D6532">
        <w:rPr>
          <w:i/>
          <w:lang w:val="en-US"/>
        </w:rPr>
        <w:t>academic pathway</w:t>
      </w:r>
      <w:r w:rsidRPr="003D6532">
        <w:rPr>
          <w:lang w:val="en-US"/>
        </w:rPr>
        <w:t>). The second feature of Russia’s educational system is the formal possibility of transferring to higher education programs from institutions of upper-level vocational education – so</w:t>
      </w:r>
      <w:r>
        <w:rPr>
          <w:lang w:val="en-US"/>
        </w:rPr>
        <w:t>-</w:t>
      </w:r>
      <w:r w:rsidRPr="003D6532">
        <w:rPr>
          <w:lang w:val="en-US"/>
        </w:rPr>
        <w:t>called technical schools or colleges. These institutions are generally less selective with regard to student intake, yet</w:t>
      </w:r>
      <w:r>
        <w:rPr>
          <w:lang w:val="en-US"/>
        </w:rPr>
        <w:t xml:space="preserve"> </w:t>
      </w:r>
      <w:r w:rsidRPr="003D6532">
        <w:rPr>
          <w:lang w:val="en-US"/>
        </w:rPr>
        <w:t xml:space="preserve">incidentally, they also allow </w:t>
      </w:r>
      <w:r>
        <w:rPr>
          <w:lang w:val="en-US"/>
        </w:rPr>
        <w:t xml:space="preserve">students to </w:t>
      </w:r>
      <w:r w:rsidRPr="003D6532">
        <w:rPr>
          <w:lang w:val="en-US"/>
        </w:rPr>
        <w:t xml:space="preserve">progress to higher education without necessarily facing the challenging USE filter (henceforth, </w:t>
      </w:r>
      <w:r w:rsidRPr="003D6532">
        <w:rPr>
          <w:i/>
          <w:lang w:val="en-US"/>
        </w:rPr>
        <w:t>pseudo-academic pathway</w:t>
      </w:r>
      <w:r w:rsidRPr="003D6532">
        <w:rPr>
          <w:lang w:val="en-US"/>
        </w:rPr>
        <w:t xml:space="preserve">). </w:t>
      </w:r>
    </w:p>
    <w:p w14:paraId="2F62413A" w14:textId="6680280F" w:rsidR="00CD1FC2" w:rsidRPr="003D6532" w:rsidRDefault="00CD1FC2" w:rsidP="008746FC">
      <w:pPr>
        <w:rPr>
          <w:color w:val="000000" w:themeColor="text1"/>
          <w:lang w:val="en-US"/>
        </w:rPr>
      </w:pPr>
      <w:r w:rsidRPr="003D6532">
        <w:rPr>
          <w:lang w:val="en-US"/>
        </w:rPr>
        <w:t>That said</w:t>
      </w:r>
      <w:proofErr w:type="gramStart"/>
      <w:r>
        <w:rPr>
          <w:lang w:val="en-US"/>
        </w:rPr>
        <w:t>,</w:t>
      </w:r>
      <w:proofErr w:type="gramEnd"/>
      <w:r w:rsidRPr="003D6532">
        <w:rPr>
          <w:lang w:val="en-US"/>
        </w:rPr>
        <w:t xml:space="preserve"> our major focus in this article is the interplay between students’ scholastic abilities and </w:t>
      </w:r>
      <w:r>
        <w:rPr>
          <w:lang w:val="en-US"/>
        </w:rPr>
        <w:t xml:space="preserve">their </w:t>
      </w:r>
      <w:r w:rsidRPr="003D6532">
        <w:rPr>
          <w:lang w:val="en-US"/>
        </w:rPr>
        <w:t xml:space="preserve">social background in shaping their educational pathways. Our study contributes to existing literature in two important respects. First, we expand on previous studies </w:t>
      </w:r>
      <w:r>
        <w:rPr>
          <w:lang w:val="en-US"/>
        </w:rPr>
        <w:t xml:space="preserve">reporting </w:t>
      </w:r>
      <w:r w:rsidRPr="003D6532">
        <w:rPr>
          <w:lang w:val="en-US"/>
        </w:rPr>
        <w:t xml:space="preserve">the waning of social disparities in educational success among better </w:t>
      </w:r>
      <w:r w:rsidRPr="003D6532">
        <w:rPr>
          <w:lang w:val="en-US"/>
        </w:rPr>
        <w:lastRenderedPageBreak/>
        <w:t xml:space="preserve">performing children </w:t>
      </w:r>
      <w:r w:rsidRPr="003D6532">
        <w:rPr>
          <w:rFonts w:cs="Times New Roman"/>
          <w:lang w:val="en-US"/>
        </w:rPr>
        <w:t>(</w:t>
      </w:r>
      <w:proofErr w:type="spellStart"/>
      <w:r w:rsidRPr="003D6532">
        <w:rPr>
          <w:rFonts w:cs="Times New Roman"/>
          <w:lang w:val="en-US"/>
        </w:rPr>
        <w:t>Bernardi</w:t>
      </w:r>
      <w:proofErr w:type="spellEnd"/>
      <w:r w:rsidRPr="003D6532">
        <w:rPr>
          <w:rFonts w:cs="Times New Roman"/>
          <w:lang w:val="en-US"/>
        </w:rPr>
        <w:t xml:space="preserve"> and </w:t>
      </w:r>
      <w:proofErr w:type="spellStart"/>
      <w:r w:rsidRPr="003D6532">
        <w:rPr>
          <w:rFonts w:cs="Times New Roman"/>
          <w:lang w:val="en-US"/>
        </w:rPr>
        <w:t>Cebolla-Boado</w:t>
      </w:r>
      <w:proofErr w:type="spellEnd"/>
      <w:r w:rsidRPr="003D6532">
        <w:rPr>
          <w:rFonts w:cs="Times New Roman"/>
          <w:lang w:val="en-US"/>
        </w:rPr>
        <w:t xml:space="preserve"> 2014)</w:t>
      </w:r>
      <w:r w:rsidRPr="003D6532">
        <w:rPr>
          <w:lang w:val="en-US"/>
        </w:rPr>
        <w:t xml:space="preserve">, and </w:t>
      </w:r>
      <w:r>
        <w:rPr>
          <w:lang w:val="en-US"/>
        </w:rPr>
        <w:t xml:space="preserve">we </w:t>
      </w:r>
      <w:r w:rsidRPr="003D6532">
        <w:rPr>
          <w:lang w:val="en-US"/>
        </w:rPr>
        <w:t>reveal a particular mechanism</w:t>
      </w:r>
      <w:r>
        <w:rPr>
          <w:lang w:val="en-US"/>
        </w:rPr>
        <w:t xml:space="preserve"> </w:t>
      </w:r>
      <w:r w:rsidRPr="003D6532">
        <w:rPr>
          <w:lang w:val="en-US"/>
        </w:rPr>
        <w:t xml:space="preserve">by which upper class families can maintain </w:t>
      </w:r>
      <w:r>
        <w:rPr>
          <w:lang w:val="en-US"/>
        </w:rPr>
        <w:t xml:space="preserve">an </w:t>
      </w:r>
      <w:r w:rsidRPr="003D6532">
        <w:rPr>
          <w:lang w:val="en-US"/>
        </w:rPr>
        <w:t xml:space="preserve">advantage in the educational system. More specifically, we lend some support to the theory of compensatory advantage </w:t>
      </w:r>
      <w:r w:rsidRPr="003D6532">
        <w:rPr>
          <w:rFonts w:cs="Times New Roman"/>
          <w:lang w:val="en-US"/>
        </w:rPr>
        <w:t>(</w:t>
      </w:r>
      <w:proofErr w:type="spellStart"/>
      <w:r w:rsidRPr="003D6532">
        <w:rPr>
          <w:rFonts w:cs="Times New Roman"/>
          <w:lang w:val="en-US"/>
        </w:rPr>
        <w:t>Bernardi</w:t>
      </w:r>
      <w:proofErr w:type="spellEnd"/>
      <w:r w:rsidRPr="003D6532">
        <w:rPr>
          <w:rFonts w:cs="Times New Roman"/>
          <w:lang w:val="en-US"/>
        </w:rPr>
        <w:t xml:space="preserve"> 2014)</w:t>
      </w:r>
      <w:r w:rsidRPr="003D6532">
        <w:rPr>
          <w:lang w:val="en-US"/>
        </w:rPr>
        <w:t xml:space="preserve"> by showing that upper class families can strategically respond to </w:t>
      </w:r>
      <w:r>
        <w:rPr>
          <w:lang w:val="en-US"/>
        </w:rPr>
        <w:t xml:space="preserve">their </w:t>
      </w:r>
      <w:r w:rsidRPr="003D6532">
        <w:rPr>
          <w:lang w:val="en-US"/>
        </w:rPr>
        <w:t xml:space="preserve">children’s lack of academic success by choosing pathways </w:t>
      </w:r>
      <w:r>
        <w:rPr>
          <w:lang w:val="en-US"/>
        </w:rPr>
        <w:t xml:space="preserve">that </w:t>
      </w:r>
      <w:r w:rsidRPr="003D6532">
        <w:rPr>
          <w:lang w:val="en-US"/>
        </w:rPr>
        <w:t xml:space="preserve">minimize the risk of status demotion. Second, we contribute to the body of research that has already explored the effect of social background on track mobility and transitions from vocational programs to higher education </w:t>
      </w:r>
      <w:r w:rsidRPr="003D6532">
        <w:rPr>
          <w:rFonts w:cs="Times New Roman"/>
          <w:szCs w:val="24"/>
          <w:lang w:val="en-US"/>
        </w:rPr>
        <w:t xml:space="preserve">(cf. Dougherty 1992; Dougherty and </w:t>
      </w:r>
      <w:proofErr w:type="spellStart"/>
      <w:r w:rsidRPr="003D6532">
        <w:rPr>
          <w:rFonts w:cs="Times New Roman"/>
          <w:szCs w:val="24"/>
          <w:lang w:val="en-US"/>
        </w:rPr>
        <w:t>Kienzl</w:t>
      </w:r>
      <w:proofErr w:type="spellEnd"/>
      <w:r w:rsidRPr="003D6532">
        <w:rPr>
          <w:rFonts w:cs="Times New Roman"/>
          <w:szCs w:val="24"/>
          <w:lang w:val="en-US"/>
        </w:rPr>
        <w:t xml:space="preserve"> 2006 in the US; </w:t>
      </w:r>
      <w:proofErr w:type="spellStart"/>
      <w:r w:rsidRPr="003D6532">
        <w:rPr>
          <w:rFonts w:cs="Times New Roman"/>
          <w:szCs w:val="24"/>
          <w:lang w:val="en-US"/>
        </w:rPr>
        <w:t>Moodie</w:t>
      </w:r>
      <w:proofErr w:type="spellEnd"/>
      <w:r w:rsidRPr="003D6532">
        <w:rPr>
          <w:rFonts w:cs="Times New Roman"/>
          <w:szCs w:val="24"/>
          <w:lang w:val="en-US"/>
        </w:rPr>
        <w:t xml:space="preserve"> and </w:t>
      </w:r>
      <w:proofErr w:type="spellStart"/>
      <w:r w:rsidRPr="003D6532">
        <w:rPr>
          <w:rFonts w:cs="Times New Roman"/>
          <w:szCs w:val="24"/>
          <w:lang w:val="en-US"/>
        </w:rPr>
        <w:t>Wheelahan</w:t>
      </w:r>
      <w:proofErr w:type="spellEnd"/>
      <w:r w:rsidRPr="003D6532">
        <w:rPr>
          <w:rFonts w:cs="Times New Roman"/>
          <w:szCs w:val="24"/>
          <w:lang w:val="en-US"/>
        </w:rPr>
        <w:t xml:space="preserve"> 2009 in Australia; </w:t>
      </w:r>
      <w:proofErr w:type="spellStart"/>
      <w:r w:rsidRPr="003D6532">
        <w:rPr>
          <w:rFonts w:cs="Times New Roman"/>
          <w:szCs w:val="24"/>
          <w:lang w:val="en-US"/>
        </w:rPr>
        <w:t>Tieben</w:t>
      </w:r>
      <w:proofErr w:type="spellEnd"/>
      <w:r w:rsidRPr="003D6532">
        <w:rPr>
          <w:rFonts w:cs="Times New Roman"/>
          <w:szCs w:val="24"/>
          <w:lang w:val="en-US"/>
        </w:rPr>
        <w:t xml:space="preserve"> 2011 in the Netherlands; </w:t>
      </w:r>
      <w:proofErr w:type="spellStart"/>
      <w:r w:rsidRPr="003D6532">
        <w:rPr>
          <w:rFonts w:cs="Times New Roman"/>
          <w:szCs w:val="24"/>
          <w:lang w:val="en-US"/>
        </w:rPr>
        <w:t>Büchel</w:t>
      </w:r>
      <w:proofErr w:type="spellEnd"/>
      <w:r w:rsidRPr="003D6532">
        <w:rPr>
          <w:rFonts w:cs="Times New Roman"/>
          <w:szCs w:val="24"/>
          <w:lang w:val="en-US"/>
        </w:rPr>
        <w:t xml:space="preserve"> and </w:t>
      </w:r>
      <w:proofErr w:type="spellStart"/>
      <w:r w:rsidRPr="003D6532">
        <w:rPr>
          <w:rFonts w:cs="Times New Roman"/>
          <w:szCs w:val="24"/>
          <w:lang w:val="en-US"/>
        </w:rPr>
        <w:t>Helberger</w:t>
      </w:r>
      <w:proofErr w:type="spellEnd"/>
      <w:r w:rsidRPr="003D6532">
        <w:rPr>
          <w:rFonts w:cs="Times New Roman"/>
          <w:szCs w:val="24"/>
          <w:lang w:val="en-US"/>
        </w:rPr>
        <w:t xml:space="preserve"> 1995; Bellman and </w:t>
      </w:r>
      <w:proofErr w:type="spellStart"/>
      <w:r w:rsidRPr="003D6532">
        <w:rPr>
          <w:rFonts w:cs="Times New Roman"/>
          <w:szCs w:val="24"/>
          <w:lang w:val="en-US"/>
        </w:rPr>
        <w:t>Janik</w:t>
      </w:r>
      <w:proofErr w:type="spellEnd"/>
      <w:r w:rsidRPr="003D6532">
        <w:rPr>
          <w:rFonts w:cs="Times New Roman"/>
          <w:szCs w:val="24"/>
          <w:lang w:val="en-US"/>
        </w:rPr>
        <w:t xml:space="preserve"> 2010; </w:t>
      </w:r>
      <w:proofErr w:type="spellStart"/>
      <w:r w:rsidRPr="003D6532">
        <w:rPr>
          <w:rFonts w:cs="Times New Roman"/>
          <w:szCs w:val="24"/>
          <w:lang w:val="en-US"/>
        </w:rPr>
        <w:t>Hartlaub</w:t>
      </w:r>
      <w:proofErr w:type="spellEnd"/>
      <w:r w:rsidRPr="003D6532">
        <w:rPr>
          <w:rFonts w:cs="Times New Roman"/>
          <w:szCs w:val="24"/>
          <w:lang w:val="en-US"/>
        </w:rPr>
        <w:t xml:space="preserve"> and Schneider 2012 in Germany; </w:t>
      </w:r>
      <w:proofErr w:type="spellStart"/>
      <w:r w:rsidRPr="003D6532">
        <w:rPr>
          <w:rFonts w:cs="Times New Roman"/>
          <w:szCs w:val="24"/>
          <w:lang w:val="en-US"/>
        </w:rPr>
        <w:t>Alexandrov</w:t>
      </w:r>
      <w:proofErr w:type="spellEnd"/>
      <w:r w:rsidRPr="003D6532">
        <w:rPr>
          <w:rFonts w:cs="Times New Roman"/>
          <w:szCs w:val="24"/>
          <w:lang w:val="en-US"/>
        </w:rPr>
        <w:t xml:space="preserve">, </w:t>
      </w:r>
      <w:proofErr w:type="spellStart"/>
      <w:r w:rsidRPr="003D6532">
        <w:rPr>
          <w:rFonts w:cs="Times New Roman"/>
          <w:szCs w:val="24"/>
          <w:lang w:val="en-US"/>
        </w:rPr>
        <w:t>Tenisheva</w:t>
      </w:r>
      <w:proofErr w:type="spellEnd"/>
      <w:r w:rsidRPr="003D6532">
        <w:rPr>
          <w:rFonts w:cs="Times New Roman"/>
          <w:szCs w:val="24"/>
          <w:lang w:val="en-US"/>
        </w:rPr>
        <w:t xml:space="preserve">, and </w:t>
      </w:r>
      <w:proofErr w:type="spellStart"/>
      <w:r w:rsidRPr="003D6532">
        <w:rPr>
          <w:rFonts w:cs="Times New Roman"/>
          <w:szCs w:val="24"/>
          <w:lang w:val="en-US"/>
        </w:rPr>
        <w:t>Savelyeva</w:t>
      </w:r>
      <w:proofErr w:type="spellEnd"/>
      <w:r w:rsidRPr="003D6532">
        <w:rPr>
          <w:rFonts w:cs="Times New Roman"/>
          <w:szCs w:val="24"/>
          <w:lang w:val="en-US"/>
        </w:rPr>
        <w:t xml:space="preserve"> 2015 in Russia; Holm et al. 2013 in Denmark)</w:t>
      </w:r>
      <w:r w:rsidRPr="003D6532">
        <w:rPr>
          <w:lang w:val="en-US"/>
        </w:rPr>
        <w:t xml:space="preserve">. Yet, in these studies the interactive relationship between children’s social background and </w:t>
      </w:r>
      <w:r>
        <w:rPr>
          <w:lang w:val="en-US"/>
        </w:rPr>
        <w:t xml:space="preserve">their </w:t>
      </w:r>
      <w:r w:rsidRPr="003D6532">
        <w:rPr>
          <w:lang w:val="en-US"/>
        </w:rPr>
        <w:t xml:space="preserve">scholastic ability </w:t>
      </w:r>
      <w:r>
        <w:rPr>
          <w:lang w:val="en-US"/>
        </w:rPr>
        <w:t xml:space="preserve">was </w:t>
      </w:r>
      <w:r w:rsidRPr="003D6532">
        <w:rPr>
          <w:lang w:val="en-US"/>
        </w:rPr>
        <w:t xml:space="preserve">essentially unrecognized. A single exception is the study of Becker &amp; </w:t>
      </w:r>
      <w:proofErr w:type="spellStart"/>
      <w:r w:rsidRPr="003D6532">
        <w:rPr>
          <w:lang w:val="en-US"/>
        </w:rPr>
        <w:t>Hecken</w:t>
      </w:r>
      <w:proofErr w:type="spellEnd"/>
      <w:r w:rsidRPr="003D6532">
        <w:rPr>
          <w:lang w:val="en-US"/>
        </w:rPr>
        <w:t xml:space="preserve"> </w:t>
      </w:r>
      <w:r w:rsidRPr="003D6532">
        <w:rPr>
          <w:rFonts w:cs="Times New Roman"/>
          <w:lang w:val="en-US"/>
        </w:rPr>
        <w:t>(2009)</w:t>
      </w:r>
      <w:r w:rsidRPr="003D6532">
        <w:rPr>
          <w:lang w:val="en-US"/>
        </w:rPr>
        <w:t xml:space="preserve">, who </w:t>
      </w:r>
      <w:r>
        <w:rPr>
          <w:lang w:val="en-US"/>
        </w:rPr>
        <w:t xml:space="preserve">find </w:t>
      </w:r>
      <w:r w:rsidRPr="003D6532">
        <w:rPr>
          <w:lang w:val="en-US"/>
        </w:rPr>
        <w:t xml:space="preserve">that lower performing children from middle class families in Germany are especially predisposed to obtain vocational qualifications before enrolling in higher education. They explain this </w:t>
      </w:r>
      <w:r>
        <w:rPr>
          <w:lang w:val="en-US"/>
        </w:rPr>
        <w:t xml:space="preserve">finding </w:t>
      </w:r>
      <w:r w:rsidRPr="003D6532">
        <w:rPr>
          <w:lang w:val="en-US"/>
        </w:rPr>
        <w:t>as evidence of ‘</w:t>
      </w:r>
      <w:r>
        <w:rPr>
          <w:lang w:val="en-US"/>
        </w:rPr>
        <w:t xml:space="preserve">an </w:t>
      </w:r>
      <w:r w:rsidRPr="003D6532">
        <w:rPr>
          <w:lang w:val="en-US"/>
        </w:rPr>
        <w:t xml:space="preserve">insurance’ motive </w:t>
      </w:r>
      <w:r w:rsidRPr="003D6532">
        <w:rPr>
          <w:rFonts w:cs="Times New Roman"/>
          <w:szCs w:val="24"/>
          <w:lang w:val="en-US"/>
        </w:rPr>
        <w:t>(</w:t>
      </w:r>
      <w:proofErr w:type="spellStart"/>
      <w:r w:rsidRPr="003D6532">
        <w:rPr>
          <w:rFonts w:cs="Times New Roman"/>
          <w:szCs w:val="24"/>
          <w:lang w:val="en-US"/>
        </w:rPr>
        <w:t>Büchel</w:t>
      </w:r>
      <w:proofErr w:type="spellEnd"/>
      <w:r w:rsidRPr="003D6532">
        <w:rPr>
          <w:rFonts w:cs="Times New Roman"/>
          <w:szCs w:val="24"/>
          <w:lang w:val="en-US"/>
        </w:rPr>
        <w:t xml:space="preserve"> and </w:t>
      </w:r>
      <w:proofErr w:type="spellStart"/>
      <w:r w:rsidRPr="003D6532">
        <w:rPr>
          <w:rFonts w:cs="Times New Roman"/>
          <w:szCs w:val="24"/>
          <w:lang w:val="en-US"/>
        </w:rPr>
        <w:t>Helberger</w:t>
      </w:r>
      <w:proofErr w:type="spellEnd"/>
      <w:r w:rsidRPr="003D6532">
        <w:rPr>
          <w:rFonts w:cs="Times New Roman"/>
          <w:szCs w:val="24"/>
          <w:lang w:val="en-US"/>
        </w:rPr>
        <w:t xml:space="preserve"> 1995)</w:t>
      </w:r>
      <w:r w:rsidRPr="003D6532">
        <w:rPr>
          <w:lang w:val="en-US"/>
        </w:rPr>
        <w:t xml:space="preserve"> or ‘safety net’ hypothesis </w:t>
      </w:r>
      <w:r w:rsidRPr="003D6532">
        <w:rPr>
          <w:rFonts w:cs="Times New Roman"/>
          <w:lang w:val="en-US"/>
        </w:rPr>
        <w:t>(</w:t>
      </w:r>
      <w:proofErr w:type="spellStart"/>
      <w:r w:rsidRPr="003D6532">
        <w:rPr>
          <w:rFonts w:cs="Times New Roman"/>
          <w:lang w:val="en-US"/>
        </w:rPr>
        <w:t>Shavit</w:t>
      </w:r>
      <w:proofErr w:type="spellEnd"/>
      <w:r w:rsidRPr="003D6532">
        <w:rPr>
          <w:rFonts w:cs="Times New Roman"/>
          <w:lang w:val="en-US"/>
        </w:rPr>
        <w:t xml:space="preserve"> and Muller 2000)</w:t>
      </w:r>
      <w:r w:rsidRPr="003D6532">
        <w:rPr>
          <w:lang w:val="en-US"/>
        </w:rPr>
        <w:t>: i.e.</w:t>
      </w:r>
      <w:r>
        <w:rPr>
          <w:lang w:val="en-US"/>
        </w:rPr>
        <w:t>,</w:t>
      </w:r>
      <w:r w:rsidRPr="003D6532">
        <w:rPr>
          <w:lang w:val="en-US"/>
        </w:rPr>
        <w:t xml:space="preserve"> middle class students choose to </w:t>
      </w:r>
      <w:r>
        <w:rPr>
          <w:lang w:val="en-US"/>
        </w:rPr>
        <w:t xml:space="preserve">pursue </w:t>
      </w:r>
      <w:r w:rsidRPr="003D6532">
        <w:rPr>
          <w:lang w:val="en-US"/>
        </w:rPr>
        <w:t xml:space="preserve">vocational education in order to secure at least some level of qualification in </w:t>
      </w:r>
      <w:r>
        <w:rPr>
          <w:lang w:val="en-US"/>
        </w:rPr>
        <w:t xml:space="preserve">the </w:t>
      </w:r>
      <w:r w:rsidRPr="003D6532">
        <w:rPr>
          <w:lang w:val="en-US"/>
        </w:rPr>
        <w:t xml:space="preserve">case of </w:t>
      </w:r>
      <w:r>
        <w:rPr>
          <w:lang w:val="en-US"/>
        </w:rPr>
        <w:t xml:space="preserve">their </w:t>
      </w:r>
      <w:r w:rsidRPr="003D6532">
        <w:rPr>
          <w:lang w:val="en-US"/>
        </w:rPr>
        <w:t xml:space="preserve">possible failure in higher education. Yet, this finding and the interpretation therein hinges on the context, in which corresponding transitions are analyzed. First, Becker &amp; </w:t>
      </w:r>
      <w:proofErr w:type="spellStart"/>
      <w:r w:rsidRPr="003D6532">
        <w:rPr>
          <w:lang w:val="en-US"/>
        </w:rPr>
        <w:t>Hecken</w:t>
      </w:r>
      <w:proofErr w:type="spellEnd"/>
      <w:r w:rsidRPr="003D6532">
        <w:rPr>
          <w:lang w:val="en-US"/>
        </w:rPr>
        <w:t xml:space="preserve"> (2009) focus exclusively on academic track takers, i.e.</w:t>
      </w:r>
      <w:r>
        <w:rPr>
          <w:lang w:val="en-US"/>
        </w:rPr>
        <w:t>,</w:t>
      </w:r>
      <w:r w:rsidRPr="003D6532">
        <w:rPr>
          <w:lang w:val="en-US"/>
        </w:rPr>
        <w:t xml:space="preserve"> students who have proven eligible for higher education by successfully completing </w:t>
      </w:r>
      <w:r>
        <w:rPr>
          <w:lang w:val="en-US"/>
        </w:rPr>
        <w:t xml:space="preserve">the </w:t>
      </w:r>
      <w:proofErr w:type="spellStart"/>
      <w:r w:rsidRPr="003D6532">
        <w:rPr>
          <w:lang w:val="en-US"/>
        </w:rPr>
        <w:t>Abitur</w:t>
      </w:r>
      <w:proofErr w:type="spellEnd"/>
      <w:r w:rsidRPr="003D6532">
        <w:rPr>
          <w:lang w:val="en-US"/>
        </w:rPr>
        <w:t xml:space="preserve"> and thus constitute a highly selective entity. By contrast, in Russia</w:t>
      </w:r>
      <w:r>
        <w:rPr>
          <w:lang w:val="en-US"/>
        </w:rPr>
        <w:t>,</w:t>
      </w:r>
      <w:r w:rsidRPr="003D6532">
        <w:rPr>
          <w:lang w:val="en-US"/>
        </w:rPr>
        <w:t xml:space="preserve"> we compare vocational track takers, who may access higher education without proving their eligibility with the USE, and academic track takers, who necessarily face such </w:t>
      </w:r>
      <w:r>
        <w:rPr>
          <w:lang w:val="en-US"/>
        </w:rPr>
        <w:t xml:space="preserve">a </w:t>
      </w:r>
      <w:r w:rsidRPr="003D6532">
        <w:rPr>
          <w:lang w:val="en-US"/>
        </w:rPr>
        <w:t>requirement. Second, in Russia</w:t>
      </w:r>
      <w:r>
        <w:rPr>
          <w:lang w:val="en-US"/>
        </w:rPr>
        <w:t>,</w:t>
      </w:r>
      <w:r w:rsidRPr="003D6532">
        <w:rPr>
          <w:lang w:val="en-US"/>
        </w:rPr>
        <w:t xml:space="preserve"> vocational qualifications do not guarantee decent </w:t>
      </w:r>
      <w:r w:rsidRPr="003D6532">
        <w:rPr>
          <w:lang w:val="en-US"/>
        </w:rPr>
        <w:lastRenderedPageBreak/>
        <w:t xml:space="preserve">employment prospects because of the weak link between the educational system and the labor market </w:t>
      </w:r>
      <w:r w:rsidRPr="003D6532">
        <w:rPr>
          <w:rFonts w:cs="Times New Roman"/>
          <w:szCs w:val="24"/>
          <w:lang w:val="en-US"/>
        </w:rPr>
        <w:t xml:space="preserve">(Gerber 2003; </w:t>
      </w:r>
      <w:proofErr w:type="spellStart"/>
      <w:r w:rsidRPr="003D6532">
        <w:rPr>
          <w:rFonts w:cs="Times New Roman"/>
          <w:szCs w:val="24"/>
          <w:lang w:val="en-US"/>
        </w:rPr>
        <w:t>Cheidvasser</w:t>
      </w:r>
      <w:proofErr w:type="spellEnd"/>
      <w:r w:rsidRPr="003D6532">
        <w:rPr>
          <w:rFonts w:cs="Times New Roman"/>
          <w:szCs w:val="24"/>
          <w:lang w:val="en-US"/>
        </w:rPr>
        <w:t xml:space="preserve"> and </w:t>
      </w:r>
      <w:proofErr w:type="spellStart"/>
      <w:r w:rsidRPr="003D6532">
        <w:rPr>
          <w:rFonts w:cs="Times New Roman"/>
          <w:szCs w:val="24"/>
          <w:lang w:val="en-US"/>
        </w:rPr>
        <w:t>Benítez</w:t>
      </w:r>
      <w:proofErr w:type="spellEnd"/>
      <w:r w:rsidRPr="003D6532">
        <w:rPr>
          <w:rFonts w:cs="Times New Roman"/>
          <w:szCs w:val="24"/>
          <w:lang w:val="en-US"/>
        </w:rPr>
        <w:t xml:space="preserve">-Silva 2007; Walker 2007; </w:t>
      </w:r>
      <w:proofErr w:type="spellStart"/>
      <w:r w:rsidRPr="003D6532">
        <w:rPr>
          <w:rFonts w:cs="Times New Roman"/>
          <w:szCs w:val="24"/>
          <w:lang w:val="en-US"/>
        </w:rPr>
        <w:t>Bühler</w:t>
      </w:r>
      <w:proofErr w:type="spellEnd"/>
      <w:r w:rsidRPr="003D6532">
        <w:rPr>
          <w:rFonts w:cs="Times New Roman"/>
          <w:szCs w:val="24"/>
          <w:lang w:val="en-US"/>
        </w:rPr>
        <w:t xml:space="preserve"> and </w:t>
      </w:r>
      <w:proofErr w:type="spellStart"/>
      <w:r w:rsidRPr="003D6532">
        <w:rPr>
          <w:rFonts w:cs="Times New Roman"/>
          <w:szCs w:val="24"/>
          <w:lang w:val="en-US"/>
        </w:rPr>
        <w:t>Konietzka</w:t>
      </w:r>
      <w:proofErr w:type="spellEnd"/>
      <w:r w:rsidRPr="003D6532">
        <w:rPr>
          <w:rFonts w:cs="Times New Roman"/>
          <w:szCs w:val="24"/>
          <w:lang w:val="en-US"/>
        </w:rPr>
        <w:t xml:space="preserve"> 2011)</w:t>
      </w:r>
      <w:r w:rsidRPr="003D6532">
        <w:rPr>
          <w:color w:val="000000" w:themeColor="text1"/>
          <w:lang w:val="en-US"/>
        </w:rPr>
        <w:t>, and as such</w:t>
      </w:r>
      <w:r>
        <w:rPr>
          <w:color w:val="000000" w:themeColor="text1"/>
          <w:lang w:val="en-US"/>
        </w:rPr>
        <w:t>,</w:t>
      </w:r>
      <w:r w:rsidRPr="003D6532">
        <w:rPr>
          <w:color w:val="000000" w:themeColor="text1"/>
          <w:lang w:val="en-US"/>
        </w:rPr>
        <w:t xml:space="preserve"> they do not </w:t>
      </w:r>
      <w:r>
        <w:rPr>
          <w:color w:val="000000" w:themeColor="text1"/>
          <w:lang w:val="en-US"/>
        </w:rPr>
        <w:t xml:space="preserve">constitute an </w:t>
      </w:r>
      <w:r w:rsidRPr="003D6532">
        <w:rPr>
          <w:color w:val="000000" w:themeColor="text1"/>
          <w:lang w:val="en-US"/>
        </w:rPr>
        <w:t xml:space="preserve">adequate safety net as they may do in Germany </w:t>
      </w:r>
      <w:r w:rsidRPr="003D6532">
        <w:rPr>
          <w:rFonts w:cs="Times New Roman"/>
          <w:lang w:val="en-US"/>
        </w:rPr>
        <w:t>(</w:t>
      </w:r>
      <w:proofErr w:type="spellStart"/>
      <w:r w:rsidRPr="003D6532">
        <w:rPr>
          <w:rFonts w:cs="Times New Roman"/>
          <w:lang w:val="en-US"/>
        </w:rPr>
        <w:t>Shavit</w:t>
      </w:r>
      <w:proofErr w:type="spellEnd"/>
      <w:r w:rsidRPr="003D6532">
        <w:rPr>
          <w:rFonts w:cs="Times New Roman"/>
          <w:lang w:val="en-US"/>
        </w:rPr>
        <w:t xml:space="preserve"> and Muller 2000)</w:t>
      </w:r>
      <w:r w:rsidRPr="003D6532">
        <w:rPr>
          <w:color w:val="000000" w:themeColor="text1"/>
          <w:lang w:val="en-US"/>
        </w:rPr>
        <w:t xml:space="preserve">. Hence, a slightly different set of motives might underlie decisions about </w:t>
      </w:r>
      <w:r>
        <w:rPr>
          <w:color w:val="000000" w:themeColor="text1"/>
          <w:lang w:val="en-US"/>
        </w:rPr>
        <w:t xml:space="preserve">the </w:t>
      </w:r>
      <w:r w:rsidRPr="003D6532">
        <w:rPr>
          <w:color w:val="000000" w:themeColor="text1"/>
          <w:lang w:val="en-US"/>
        </w:rPr>
        <w:t>track choice and educational transitions of Russian families.</w:t>
      </w:r>
    </w:p>
    <w:p w14:paraId="2E47E44C" w14:textId="1C05D4B7" w:rsidR="00CD1FC2" w:rsidRPr="003D6532" w:rsidRDefault="00CD1FC2" w:rsidP="003A0F61">
      <w:pPr>
        <w:rPr>
          <w:lang w:val="en-US"/>
        </w:rPr>
      </w:pPr>
      <w:r w:rsidRPr="003D6532">
        <w:rPr>
          <w:color w:val="000000" w:themeColor="text1"/>
          <w:lang w:val="en-US"/>
        </w:rPr>
        <w:t xml:space="preserve">To examine whether and how the existence of pseudo-academic pathways contributes to social inequality in access to higher education in Russia, we </w:t>
      </w:r>
      <w:r>
        <w:rPr>
          <w:color w:val="000000" w:themeColor="text1"/>
          <w:lang w:val="en-US"/>
        </w:rPr>
        <w:t xml:space="preserve">use </w:t>
      </w:r>
      <w:r w:rsidRPr="003D6532">
        <w:rPr>
          <w:color w:val="000000" w:themeColor="text1"/>
          <w:lang w:val="en-US"/>
        </w:rPr>
        <w:t xml:space="preserve">data from the Russian longitudinal survey </w:t>
      </w:r>
      <w:r w:rsidRPr="003D6532">
        <w:rPr>
          <w:i/>
          <w:color w:val="000000" w:themeColor="text1"/>
          <w:lang w:val="en-US"/>
        </w:rPr>
        <w:t>Trajectories in Education and Careers</w:t>
      </w:r>
      <w:r w:rsidRPr="003D6532">
        <w:rPr>
          <w:color w:val="000000" w:themeColor="text1"/>
          <w:lang w:val="en-US"/>
        </w:rPr>
        <w:t xml:space="preserve"> (</w:t>
      </w:r>
      <w:proofErr w:type="spellStart"/>
      <w:r w:rsidRPr="003D6532">
        <w:rPr>
          <w:color w:val="000000" w:themeColor="text1"/>
          <w:lang w:val="en-US"/>
        </w:rPr>
        <w:t>TrEC</w:t>
      </w:r>
      <w:proofErr w:type="spellEnd"/>
      <w:r w:rsidRPr="003D6532">
        <w:rPr>
          <w:color w:val="000000" w:themeColor="text1"/>
          <w:lang w:val="en-US"/>
        </w:rPr>
        <w:t xml:space="preserve">), which </w:t>
      </w:r>
      <w:r>
        <w:rPr>
          <w:color w:val="000000" w:themeColor="text1"/>
          <w:lang w:val="en-US"/>
        </w:rPr>
        <w:t xml:space="preserve">focuses on </w:t>
      </w:r>
      <w:r w:rsidRPr="003D6532">
        <w:rPr>
          <w:color w:val="000000" w:themeColor="text1"/>
          <w:lang w:val="en-US"/>
        </w:rPr>
        <w:t>a particular cohort of Russian students (8</w:t>
      </w:r>
      <w:r w:rsidRPr="003D6532">
        <w:rPr>
          <w:color w:val="000000" w:themeColor="text1"/>
          <w:vertAlign w:val="superscript"/>
          <w:lang w:val="en-US"/>
        </w:rPr>
        <w:t>th</w:t>
      </w:r>
      <w:r w:rsidRPr="003D6532">
        <w:rPr>
          <w:color w:val="000000" w:themeColor="text1"/>
          <w:lang w:val="en-US"/>
        </w:rPr>
        <w:t xml:space="preserve"> grade in 2011). The first big advantage of this data</w:t>
      </w:r>
      <w:r>
        <w:rPr>
          <w:color w:val="000000" w:themeColor="text1"/>
          <w:lang w:val="en-US"/>
        </w:rPr>
        <w:t>set</w:t>
      </w:r>
      <w:r w:rsidRPr="003D6532">
        <w:rPr>
          <w:color w:val="000000" w:themeColor="text1"/>
          <w:lang w:val="en-US"/>
        </w:rPr>
        <w:t xml:space="preserve"> is that it allows </w:t>
      </w:r>
      <w:r>
        <w:rPr>
          <w:color w:val="000000" w:themeColor="text1"/>
          <w:lang w:val="en-US"/>
        </w:rPr>
        <w:t xml:space="preserve">us to </w:t>
      </w:r>
      <w:r w:rsidRPr="003D6532">
        <w:rPr>
          <w:color w:val="000000" w:themeColor="text1"/>
          <w:lang w:val="en-US"/>
        </w:rPr>
        <w:t>distinguish alternative pathways to higher education</w:t>
      </w:r>
      <w:r>
        <w:rPr>
          <w:color w:val="000000" w:themeColor="text1"/>
          <w:lang w:val="en-US"/>
        </w:rPr>
        <w:t xml:space="preserve"> </w:t>
      </w:r>
      <w:r w:rsidRPr="003D6532">
        <w:rPr>
          <w:color w:val="000000" w:themeColor="text1"/>
          <w:lang w:val="en-US"/>
        </w:rPr>
        <w:t xml:space="preserve">rather than </w:t>
      </w:r>
      <w:r>
        <w:rPr>
          <w:color w:val="000000" w:themeColor="text1"/>
          <w:lang w:val="en-US"/>
        </w:rPr>
        <w:t xml:space="preserve">focus </w:t>
      </w:r>
      <w:r w:rsidRPr="003D6532">
        <w:rPr>
          <w:color w:val="000000" w:themeColor="text1"/>
          <w:lang w:val="en-US"/>
        </w:rPr>
        <w:t xml:space="preserve">on traditional transitions from the academic track. The second big advantage is that it contains a battery of high quality proxies for scholastic ability (PISA and TIMSS assessments) </w:t>
      </w:r>
      <w:r w:rsidRPr="003D6532">
        <w:rPr>
          <w:i/>
          <w:color w:val="000000" w:themeColor="text1"/>
          <w:lang w:val="en-US"/>
        </w:rPr>
        <w:t>before</w:t>
      </w:r>
      <w:r w:rsidRPr="003D6532">
        <w:rPr>
          <w:color w:val="000000" w:themeColor="text1"/>
          <w:lang w:val="en-US"/>
        </w:rPr>
        <w:t xml:space="preserve"> </w:t>
      </w:r>
      <w:proofErr w:type="gramStart"/>
      <w:r w:rsidRPr="003D6532">
        <w:rPr>
          <w:color w:val="000000" w:themeColor="text1"/>
          <w:lang w:val="en-US"/>
        </w:rPr>
        <w:t>students</w:t>
      </w:r>
      <w:proofErr w:type="gramEnd"/>
      <w:r w:rsidRPr="003D6532">
        <w:rPr>
          <w:color w:val="000000" w:themeColor="text1"/>
          <w:lang w:val="en-US"/>
        </w:rPr>
        <w:t xml:space="preserve"> select different educational tracks. Correspondently, it enables us to evaluate how social background </w:t>
      </w:r>
      <w:r>
        <w:rPr>
          <w:color w:val="000000" w:themeColor="text1"/>
          <w:lang w:val="en-US"/>
        </w:rPr>
        <w:t xml:space="preserve">influences </w:t>
      </w:r>
      <w:r w:rsidRPr="003D6532">
        <w:rPr>
          <w:color w:val="000000" w:themeColor="text1"/>
          <w:lang w:val="en-US"/>
        </w:rPr>
        <w:t xml:space="preserve">these choices </w:t>
      </w:r>
      <w:r w:rsidRPr="003D6532">
        <w:rPr>
          <w:i/>
          <w:color w:val="000000" w:themeColor="text1"/>
          <w:lang w:val="en-US"/>
        </w:rPr>
        <w:t>depending on</w:t>
      </w:r>
      <w:r w:rsidRPr="003D6532">
        <w:rPr>
          <w:color w:val="000000" w:themeColor="text1"/>
          <w:lang w:val="en-US"/>
        </w:rPr>
        <w:t xml:space="preserve"> the level of students’ aptitude. We find that</w:t>
      </w:r>
      <w:r>
        <w:rPr>
          <w:color w:val="000000" w:themeColor="text1"/>
          <w:lang w:val="en-US"/>
        </w:rPr>
        <w:t xml:space="preserve"> although </w:t>
      </w:r>
      <w:r w:rsidRPr="003D6532">
        <w:rPr>
          <w:color w:val="000000" w:themeColor="text1"/>
          <w:lang w:val="en-US"/>
        </w:rPr>
        <w:t xml:space="preserve">pseudo-academic pathways indeed promote social mobility among children from less advantaged backgrounds, their utility </w:t>
      </w:r>
      <w:r>
        <w:rPr>
          <w:color w:val="000000" w:themeColor="text1"/>
          <w:lang w:val="en-US"/>
        </w:rPr>
        <w:t xml:space="preserve">with respect to </w:t>
      </w:r>
      <w:r w:rsidRPr="003D6532">
        <w:rPr>
          <w:color w:val="000000" w:themeColor="text1"/>
          <w:lang w:val="en-US"/>
        </w:rPr>
        <w:t>safe-risk access to higher education is especially highly recognized among weakly performing children from more advantaged backgrounds.</w:t>
      </w:r>
    </w:p>
    <w:p w14:paraId="5A5AC64F" w14:textId="3737D9A4" w:rsidR="00CD1FC2" w:rsidRPr="003D6532" w:rsidRDefault="00CD1FC2" w:rsidP="008C0D10">
      <w:pPr>
        <w:rPr>
          <w:lang w:val="en-US"/>
        </w:rPr>
      </w:pPr>
    </w:p>
    <w:p w14:paraId="6776A069" w14:textId="1BA877E4" w:rsidR="00CD1FC2" w:rsidRPr="003D6532" w:rsidRDefault="00CD1FC2" w:rsidP="00DF78B6">
      <w:pPr>
        <w:pStyle w:val="Heading1"/>
        <w:rPr>
          <w:lang w:val="en-US"/>
        </w:rPr>
      </w:pPr>
      <w:r w:rsidRPr="003D6532">
        <w:rPr>
          <w:lang w:val="en-US"/>
        </w:rPr>
        <w:t>2. The context of educational tracking in Russia</w:t>
      </w:r>
    </w:p>
    <w:p w14:paraId="12769AF4" w14:textId="488EB0F1" w:rsidR="00CD1FC2" w:rsidRPr="003D6532" w:rsidRDefault="00CD1FC2" w:rsidP="00AD3E71">
      <w:pPr>
        <w:pStyle w:val="Heading2"/>
        <w:rPr>
          <w:lang w:val="en-US"/>
        </w:rPr>
      </w:pPr>
      <w:r w:rsidRPr="003D6532">
        <w:rPr>
          <w:lang w:val="en-US"/>
        </w:rPr>
        <w:t>2.1 Structure of the educational system in Russia</w:t>
      </w:r>
    </w:p>
    <w:p w14:paraId="4CF4D0F5" w14:textId="66BB6814" w:rsidR="00CD1FC2" w:rsidRPr="003D6532" w:rsidRDefault="00CD1FC2" w:rsidP="00D422CF">
      <w:pPr>
        <w:rPr>
          <w:lang w:val="en-US"/>
        </w:rPr>
      </w:pPr>
      <w:r w:rsidRPr="003D6532">
        <w:rPr>
          <w:lang w:val="en-US"/>
        </w:rPr>
        <w:t xml:space="preserve">Russia is classified as a country with </w:t>
      </w:r>
      <w:r>
        <w:rPr>
          <w:lang w:val="en-US"/>
        </w:rPr>
        <w:t xml:space="preserve">a </w:t>
      </w:r>
      <w:r w:rsidRPr="003D6532">
        <w:rPr>
          <w:lang w:val="en-US"/>
        </w:rPr>
        <w:t xml:space="preserve">medium degree of educational tracking </w:t>
      </w:r>
      <w:r w:rsidRPr="003D6532">
        <w:rPr>
          <w:rFonts w:cs="Times New Roman"/>
          <w:lang w:val="en-US"/>
        </w:rPr>
        <w:t>(</w:t>
      </w:r>
      <w:proofErr w:type="spellStart"/>
      <w:r w:rsidRPr="003D6532">
        <w:rPr>
          <w:rFonts w:cs="Times New Roman"/>
          <w:lang w:val="en-US"/>
        </w:rPr>
        <w:t>Bol</w:t>
      </w:r>
      <w:proofErr w:type="spellEnd"/>
      <w:r w:rsidRPr="003D6532">
        <w:rPr>
          <w:rFonts w:cs="Times New Roman"/>
          <w:lang w:val="en-US"/>
        </w:rPr>
        <w:t xml:space="preserve"> et al. 2014)</w:t>
      </w:r>
      <w:r w:rsidRPr="003D6532">
        <w:rPr>
          <w:lang w:val="en-US"/>
        </w:rPr>
        <w:t xml:space="preserve">. Tracking takes place after 9 years of compulsory education, when students decide whether they will continue education in either </w:t>
      </w:r>
      <w:r>
        <w:rPr>
          <w:lang w:val="en-US"/>
        </w:rPr>
        <w:t xml:space="preserve">the </w:t>
      </w:r>
      <w:r w:rsidRPr="003D6532">
        <w:rPr>
          <w:lang w:val="en-US"/>
        </w:rPr>
        <w:t xml:space="preserve">academic or vocational track. Unless students </w:t>
      </w:r>
      <w:r>
        <w:rPr>
          <w:lang w:val="en-US"/>
        </w:rPr>
        <w:t xml:space="preserve">fail </w:t>
      </w:r>
      <w:r w:rsidRPr="003D6532">
        <w:rPr>
          <w:lang w:val="en-US"/>
        </w:rPr>
        <w:t>the State Final Examination (SFA), which takes place after the 9</w:t>
      </w:r>
      <w:r w:rsidRPr="003D6532">
        <w:rPr>
          <w:vertAlign w:val="superscript"/>
          <w:lang w:val="en-US"/>
        </w:rPr>
        <w:t>th</w:t>
      </w:r>
      <w:r w:rsidRPr="003D6532">
        <w:rPr>
          <w:lang w:val="en-US"/>
        </w:rPr>
        <w:t xml:space="preserve"> grade, this </w:t>
      </w:r>
      <w:r w:rsidRPr="003D6532">
        <w:rPr>
          <w:lang w:val="en-US"/>
        </w:rPr>
        <w:lastRenderedPageBreak/>
        <w:t xml:space="preserve">decision is largely voluntary, although students with less aptitude for academically oriented programs may be advised against enrolling in the academic track. Thus, vocational track takers are typically students with </w:t>
      </w:r>
      <w:r>
        <w:rPr>
          <w:lang w:val="en-US"/>
        </w:rPr>
        <w:t xml:space="preserve">a </w:t>
      </w:r>
      <w:r w:rsidRPr="003D6532">
        <w:rPr>
          <w:lang w:val="en-US"/>
        </w:rPr>
        <w:t xml:space="preserve">lower academic record </w:t>
      </w:r>
      <w:r w:rsidRPr="003D6532">
        <w:rPr>
          <w:rFonts w:cs="Times New Roman"/>
          <w:lang w:val="en-US"/>
        </w:rPr>
        <w:t>(</w:t>
      </w:r>
      <w:proofErr w:type="spellStart"/>
      <w:r w:rsidRPr="003D6532">
        <w:rPr>
          <w:rFonts w:cs="Times New Roman"/>
          <w:lang w:val="en-US"/>
        </w:rPr>
        <w:t>Kosyakova</w:t>
      </w:r>
      <w:proofErr w:type="spellEnd"/>
      <w:r w:rsidRPr="003D6532">
        <w:rPr>
          <w:rFonts w:cs="Times New Roman"/>
          <w:lang w:val="en-US"/>
        </w:rPr>
        <w:t xml:space="preserve"> et al. 2016)</w:t>
      </w:r>
      <w:r w:rsidRPr="003D6532">
        <w:rPr>
          <w:lang w:val="en-US"/>
        </w:rPr>
        <w:t xml:space="preserve">. </w:t>
      </w:r>
    </w:p>
    <w:p w14:paraId="670127A9" w14:textId="68802F91" w:rsidR="00CD1FC2" w:rsidRPr="003D6532" w:rsidRDefault="00CD1FC2" w:rsidP="00EE5C51">
      <w:pPr>
        <w:rPr>
          <w:lang w:val="en-US"/>
        </w:rPr>
      </w:pPr>
      <w:r w:rsidRPr="003D6532">
        <w:rPr>
          <w:lang w:val="en-US"/>
        </w:rPr>
        <w:t>Vocational education is provided in vocational schools</w:t>
      </w:r>
      <w:r>
        <w:rPr>
          <w:lang w:val="en-US"/>
        </w:rPr>
        <w:t>,</w:t>
      </w:r>
      <w:r w:rsidRPr="003D6532">
        <w:rPr>
          <w:lang w:val="en-US"/>
        </w:rPr>
        <w:t xml:space="preserve"> and different amounts of time may </w:t>
      </w:r>
      <w:r>
        <w:rPr>
          <w:lang w:val="en-US"/>
        </w:rPr>
        <w:t xml:space="preserve">be </w:t>
      </w:r>
      <w:r w:rsidRPr="003D6532">
        <w:rPr>
          <w:lang w:val="en-US"/>
        </w:rPr>
        <w:t>require</w:t>
      </w:r>
      <w:r>
        <w:rPr>
          <w:lang w:val="en-US"/>
        </w:rPr>
        <w:t>d</w:t>
      </w:r>
      <w:r w:rsidRPr="003D6532">
        <w:rPr>
          <w:lang w:val="en-US"/>
        </w:rPr>
        <w:t xml:space="preserve"> to complete </w:t>
      </w:r>
      <w:r>
        <w:rPr>
          <w:lang w:val="en-US"/>
        </w:rPr>
        <w:t xml:space="preserve">different </w:t>
      </w:r>
      <w:r w:rsidRPr="003D6532">
        <w:rPr>
          <w:lang w:val="en-US"/>
        </w:rPr>
        <w:t>program</w:t>
      </w:r>
      <w:r>
        <w:rPr>
          <w:lang w:val="en-US"/>
        </w:rPr>
        <w:t>s</w:t>
      </w:r>
      <w:r w:rsidRPr="003D6532">
        <w:rPr>
          <w:lang w:val="en-US"/>
        </w:rPr>
        <w:t>. Until recently</w:t>
      </w:r>
      <w:r>
        <w:rPr>
          <w:lang w:val="en-US"/>
        </w:rPr>
        <w:t>,</w:t>
      </w:r>
      <w:r w:rsidRPr="003D6532">
        <w:rPr>
          <w:lang w:val="en-US"/>
        </w:rPr>
        <w:t xml:space="preserve"> a formal distinction existed between primary vocational schools (1-3 year programs) and secondary vocational schools (2-5 year programs). With the adoption of the new law on education</w:t>
      </w:r>
      <w:r>
        <w:rPr>
          <w:rStyle w:val="EndnoteReference"/>
          <w:lang w:val="en-US"/>
        </w:rPr>
        <w:t xml:space="preserve"> </w:t>
      </w:r>
      <w:r>
        <w:rPr>
          <w:lang w:val="en-US"/>
        </w:rPr>
        <w:t>in</w:t>
      </w:r>
      <w:r w:rsidRPr="003D6532">
        <w:rPr>
          <w:rFonts w:cs="Times New Roman"/>
          <w:lang w:val="en-US"/>
        </w:rPr>
        <w:t xml:space="preserve"> 2012</w:t>
      </w:r>
      <w:r>
        <w:rPr>
          <w:rStyle w:val="EndnoteReference"/>
          <w:rFonts w:cs="Times New Roman"/>
          <w:lang w:val="en-US"/>
        </w:rPr>
        <w:endnoteReference w:id="3"/>
      </w:r>
      <w:r>
        <w:rPr>
          <w:rFonts w:cs="Times New Roman"/>
          <w:lang w:val="en-US"/>
        </w:rPr>
        <w:t>,</w:t>
      </w:r>
      <w:r w:rsidRPr="003D6532">
        <w:rPr>
          <w:lang w:val="en-US"/>
        </w:rPr>
        <w:t xml:space="preserve"> this distinction has been abolished in favor of maintaining only secondary vocational education </w:t>
      </w:r>
      <w:r w:rsidRPr="003D6532">
        <w:rPr>
          <w:i/>
          <w:lang w:val="en-US"/>
        </w:rPr>
        <w:t>(</w:t>
      </w:r>
      <w:proofErr w:type="spellStart"/>
      <w:r w:rsidRPr="003D6532">
        <w:rPr>
          <w:i/>
          <w:lang w:val="en-US"/>
        </w:rPr>
        <w:t>srednee</w:t>
      </w:r>
      <w:proofErr w:type="spellEnd"/>
      <w:r w:rsidRPr="003D6532">
        <w:rPr>
          <w:i/>
          <w:lang w:val="en-US"/>
        </w:rPr>
        <w:t xml:space="preserve"> </w:t>
      </w:r>
      <w:proofErr w:type="spellStart"/>
      <w:r w:rsidRPr="003D6532">
        <w:rPr>
          <w:i/>
          <w:lang w:val="en-US"/>
        </w:rPr>
        <w:t>professional'noe</w:t>
      </w:r>
      <w:proofErr w:type="spellEnd"/>
      <w:r w:rsidRPr="003D6532">
        <w:rPr>
          <w:i/>
          <w:lang w:val="en-US"/>
        </w:rPr>
        <w:t xml:space="preserve"> </w:t>
      </w:r>
      <w:proofErr w:type="spellStart"/>
      <w:r w:rsidRPr="003D6532">
        <w:rPr>
          <w:i/>
          <w:lang w:val="en-US"/>
        </w:rPr>
        <w:t>obrazovanie</w:t>
      </w:r>
      <w:proofErr w:type="spellEnd"/>
      <w:r w:rsidRPr="003D6532">
        <w:rPr>
          <w:lang w:val="en-US"/>
        </w:rPr>
        <w:t>), though</w:t>
      </w:r>
      <w:r>
        <w:rPr>
          <w:lang w:val="en-US"/>
        </w:rPr>
        <w:t xml:space="preserve"> </w:t>
      </w:r>
      <w:r w:rsidRPr="003D6532">
        <w:rPr>
          <w:lang w:val="en-US"/>
        </w:rPr>
        <w:t xml:space="preserve">this law did not affect the variability of programs </w:t>
      </w:r>
      <w:r>
        <w:rPr>
          <w:lang w:val="en-US"/>
        </w:rPr>
        <w:t xml:space="preserve">regarding </w:t>
      </w:r>
      <w:r w:rsidRPr="003D6532">
        <w:rPr>
          <w:lang w:val="en-US"/>
        </w:rPr>
        <w:t>the level of qualification provided and their duration. Primary level programs are offered in professional lyceums (</w:t>
      </w:r>
      <w:proofErr w:type="spellStart"/>
      <w:r w:rsidRPr="003D6532">
        <w:rPr>
          <w:i/>
          <w:lang w:val="en-US"/>
        </w:rPr>
        <w:t>professional'nye</w:t>
      </w:r>
      <w:proofErr w:type="spellEnd"/>
      <w:r w:rsidRPr="003D6532">
        <w:rPr>
          <w:i/>
          <w:lang w:val="en-US"/>
        </w:rPr>
        <w:t xml:space="preserve"> </w:t>
      </w:r>
      <w:proofErr w:type="spellStart"/>
      <w:r w:rsidRPr="003D6532">
        <w:rPr>
          <w:i/>
          <w:lang w:val="en-US"/>
        </w:rPr>
        <w:t>licei</w:t>
      </w:r>
      <w:proofErr w:type="spellEnd"/>
      <w:r w:rsidRPr="003D6532">
        <w:rPr>
          <w:lang w:val="en-US"/>
        </w:rPr>
        <w:t xml:space="preserve">) and typically train </w:t>
      </w:r>
      <w:r>
        <w:rPr>
          <w:lang w:val="en-US"/>
        </w:rPr>
        <w:t xml:space="preserve">students </w:t>
      </w:r>
      <w:r w:rsidRPr="003D6532">
        <w:rPr>
          <w:lang w:val="en-US"/>
        </w:rPr>
        <w:t>for skilled worker occupations, while secondary level programs are offered in technical schools (</w:t>
      </w:r>
      <w:proofErr w:type="spellStart"/>
      <w:r w:rsidRPr="003D6532">
        <w:rPr>
          <w:i/>
          <w:lang w:val="en-US"/>
        </w:rPr>
        <w:t>tekhnikumy</w:t>
      </w:r>
      <w:proofErr w:type="spellEnd"/>
      <w:r w:rsidRPr="003D6532">
        <w:rPr>
          <w:lang w:val="en-US"/>
        </w:rPr>
        <w:t>) and colleges (</w:t>
      </w:r>
      <w:proofErr w:type="spellStart"/>
      <w:r w:rsidRPr="003D6532">
        <w:rPr>
          <w:i/>
          <w:lang w:val="en-US"/>
        </w:rPr>
        <w:t>kolledzhi</w:t>
      </w:r>
      <w:proofErr w:type="spellEnd"/>
      <w:r w:rsidRPr="003D6532">
        <w:rPr>
          <w:lang w:val="en-US"/>
        </w:rPr>
        <w:t xml:space="preserve">) and typically train </w:t>
      </w:r>
      <w:r>
        <w:rPr>
          <w:lang w:val="en-US"/>
        </w:rPr>
        <w:t xml:space="preserve">students </w:t>
      </w:r>
      <w:r w:rsidRPr="003D6532">
        <w:rPr>
          <w:lang w:val="en-US"/>
        </w:rPr>
        <w:t>for technical and lower-grade professional occupations.</w:t>
      </w:r>
    </w:p>
    <w:p w14:paraId="325B6460" w14:textId="6735AFF6" w:rsidR="00CD1FC2" w:rsidRPr="003D6532" w:rsidRDefault="00CD1FC2" w:rsidP="002109D3">
      <w:pPr>
        <w:rPr>
          <w:lang w:val="en-US"/>
        </w:rPr>
      </w:pPr>
      <w:r w:rsidRPr="003D6532">
        <w:rPr>
          <w:lang w:val="en-US"/>
        </w:rPr>
        <w:t>Students enrolling in the academic track after 9</w:t>
      </w:r>
      <w:r w:rsidRPr="003D6532">
        <w:rPr>
          <w:vertAlign w:val="superscript"/>
          <w:lang w:val="en-US"/>
        </w:rPr>
        <w:t>th</w:t>
      </w:r>
      <w:r w:rsidRPr="003D6532">
        <w:rPr>
          <w:lang w:val="en-US"/>
        </w:rPr>
        <w:t xml:space="preserve"> grade remain in secondary general schools (</w:t>
      </w:r>
      <w:proofErr w:type="spellStart"/>
      <w:r w:rsidRPr="003D6532">
        <w:rPr>
          <w:i/>
          <w:lang w:val="en-US"/>
        </w:rPr>
        <w:t>srednie</w:t>
      </w:r>
      <w:proofErr w:type="spellEnd"/>
      <w:r w:rsidRPr="003D6532">
        <w:rPr>
          <w:i/>
          <w:lang w:val="en-US"/>
        </w:rPr>
        <w:t xml:space="preserve"> </w:t>
      </w:r>
      <w:proofErr w:type="spellStart"/>
      <w:r w:rsidRPr="003D6532">
        <w:rPr>
          <w:i/>
          <w:lang w:val="en-US"/>
        </w:rPr>
        <w:t>obscheobrazovatel'nye</w:t>
      </w:r>
      <w:proofErr w:type="spellEnd"/>
      <w:r w:rsidRPr="003D6532">
        <w:rPr>
          <w:i/>
          <w:lang w:val="en-US"/>
        </w:rPr>
        <w:t xml:space="preserve"> </w:t>
      </w:r>
      <w:proofErr w:type="spellStart"/>
      <w:r w:rsidRPr="003D6532">
        <w:rPr>
          <w:i/>
          <w:lang w:val="en-US"/>
        </w:rPr>
        <w:t>shkoly</w:t>
      </w:r>
      <w:proofErr w:type="spellEnd"/>
      <w:r w:rsidRPr="003D6532">
        <w:rPr>
          <w:lang w:val="en-US"/>
        </w:rPr>
        <w:t>) for 2 additional years, where they attain secondary (complete) general education (</w:t>
      </w:r>
      <w:proofErr w:type="spellStart"/>
      <w:r w:rsidRPr="003D6532">
        <w:rPr>
          <w:i/>
          <w:lang w:val="en-US"/>
        </w:rPr>
        <w:t>srednee</w:t>
      </w:r>
      <w:proofErr w:type="spellEnd"/>
      <w:r w:rsidRPr="003D6532">
        <w:rPr>
          <w:i/>
          <w:lang w:val="en-US"/>
        </w:rPr>
        <w:t xml:space="preserve"> (</w:t>
      </w:r>
      <w:proofErr w:type="spellStart"/>
      <w:r w:rsidRPr="003D6532">
        <w:rPr>
          <w:i/>
          <w:lang w:val="en-US"/>
        </w:rPr>
        <w:t>polnoe</w:t>
      </w:r>
      <w:proofErr w:type="spellEnd"/>
      <w:r w:rsidRPr="003D6532">
        <w:rPr>
          <w:i/>
          <w:lang w:val="en-US"/>
        </w:rPr>
        <w:t xml:space="preserve">) </w:t>
      </w:r>
      <w:proofErr w:type="spellStart"/>
      <w:r w:rsidRPr="003D6532">
        <w:rPr>
          <w:i/>
          <w:lang w:val="en-US"/>
        </w:rPr>
        <w:t>obschee</w:t>
      </w:r>
      <w:proofErr w:type="spellEnd"/>
      <w:r w:rsidRPr="003D6532">
        <w:rPr>
          <w:i/>
          <w:lang w:val="en-US"/>
        </w:rPr>
        <w:t xml:space="preserve"> </w:t>
      </w:r>
      <w:proofErr w:type="spellStart"/>
      <w:r w:rsidRPr="003D6532">
        <w:rPr>
          <w:i/>
          <w:lang w:val="en-US"/>
        </w:rPr>
        <w:t>obrazovanie</w:t>
      </w:r>
      <w:proofErr w:type="spellEnd"/>
      <w:r w:rsidRPr="003D6532">
        <w:rPr>
          <w:lang w:val="en-US"/>
        </w:rPr>
        <w:t xml:space="preserve">). The resulting certificate allows students to apply to higher education institutions, making </w:t>
      </w:r>
      <w:r>
        <w:rPr>
          <w:lang w:val="en-US"/>
        </w:rPr>
        <w:t xml:space="preserve">the </w:t>
      </w:r>
      <w:r w:rsidRPr="003D6532">
        <w:rPr>
          <w:lang w:val="en-US"/>
        </w:rPr>
        <w:t>academic track the most attractive traditional pathway to higher education</w:t>
      </w:r>
      <w:bookmarkStart w:id="1" w:name="_Hlk481335008"/>
      <w:r w:rsidRPr="003D6532">
        <w:rPr>
          <w:lang w:val="en-US"/>
        </w:rPr>
        <w:t xml:space="preserve">. </w:t>
      </w:r>
      <w:r>
        <w:rPr>
          <w:lang w:val="en-US"/>
        </w:rPr>
        <w:t>In addition</w:t>
      </w:r>
      <w:r w:rsidRPr="003D6532">
        <w:rPr>
          <w:lang w:val="en-US"/>
        </w:rPr>
        <w:t>, academic track takers retain the option of enrolling in vocational education at any time</w:t>
      </w:r>
      <w:r>
        <w:rPr>
          <w:lang w:val="en-US"/>
        </w:rPr>
        <w:t xml:space="preserve"> and </w:t>
      </w:r>
      <w:r w:rsidRPr="003D6532">
        <w:rPr>
          <w:lang w:val="en-US"/>
        </w:rPr>
        <w:t>thus also enjoy greater freedom of choice</w:t>
      </w:r>
      <w:bookmarkEnd w:id="1"/>
      <w:r w:rsidRPr="003D6532">
        <w:rPr>
          <w:lang w:val="en-US"/>
        </w:rPr>
        <w:t>.</w:t>
      </w:r>
    </w:p>
    <w:p w14:paraId="384E139A" w14:textId="2B7F50D8" w:rsidR="00CD1FC2" w:rsidRPr="003D6532" w:rsidRDefault="00CD1FC2" w:rsidP="00496F43">
      <w:pPr>
        <w:rPr>
          <w:lang w:val="en-US"/>
        </w:rPr>
      </w:pPr>
      <w:r w:rsidRPr="003D6532">
        <w:rPr>
          <w:lang w:val="en-US"/>
        </w:rPr>
        <w:t xml:space="preserve">An important feature of Russia’s educational system is that taking </w:t>
      </w:r>
      <w:r>
        <w:rPr>
          <w:lang w:val="en-US"/>
        </w:rPr>
        <w:t xml:space="preserve">the </w:t>
      </w:r>
      <w:r w:rsidRPr="003D6532">
        <w:rPr>
          <w:lang w:val="en-US"/>
        </w:rPr>
        <w:t xml:space="preserve">vocational track does not block the possibility of attaining higher education. Since secondary (complete) general education is currently provided as part of secondary vocational education, students of these schools are formally able to apply for higher education programs. By default, this </w:t>
      </w:r>
      <w:r w:rsidRPr="003D6532">
        <w:rPr>
          <w:lang w:val="en-US"/>
        </w:rPr>
        <w:lastRenderedPageBreak/>
        <w:t>possibility migrated from the Soviet educational system, where</w:t>
      </w:r>
      <w:r>
        <w:rPr>
          <w:lang w:val="en-US"/>
        </w:rPr>
        <w:t xml:space="preserve"> </w:t>
      </w:r>
      <w:r w:rsidRPr="003D6532">
        <w:rPr>
          <w:lang w:val="en-US"/>
        </w:rPr>
        <w:t xml:space="preserve">it was in fact part of the socialist policies oriented towards working class people: secondary vocational training and some years of working experience granted workers privileged access to higher education. In the post-Soviet era, the requirement of working experience was waived, thereby allowing more immediate access to higher education from secondary vocational programs. Importantly, this does not imply </w:t>
      </w:r>
      <w:r>
        <w:rPr>
          <w:lang w:val="en-US"/>
        </w:rPr>
        <w:t xml:space="preserve">that such students can </w:t>
      </w:r>
      <w:r w:rsidRPr="003D6532">
        <w:rPr>
          <w:lang w:val="en-US"/>
        </w:rPr>
        <w:t>enroll in higher education ‘from scratch’: graduates with secondary vocational degrees can enroll immediately in the 2</w:t>
      </w:r>
      <w:r w:rsidRPr="003D6532">
        <w:rPr>
          <w:vertAlign w:val="superscript"/>
          <w:lang w:val="en-US"/>
        </w:rPr>
        <w:t>nd</w:t>
      </w:r>
      <w:r w:rsidRPr="003D6532">
        <w:rPr>
          <w:lang w:val="en-US"/>
        </w:rPr>
        <w:t xml:space="preserve"> or 3</w:t>
      </w:r>
      <w:r w:rsidRPr="003D6532">
        <w:rPr>
          <w:vertAlign w:val="superscript"/>
          <w:lang w:val="en-US"/>
        </w:rPr>
        <w:t>rd</w:t>
      </w:r>
      <w:r w:rsidRPr="003D6532">
        <w:rPr>
          <w:lang w:val="en-US"/>
        </w:rPr>
        <w:t xml:space="preserve"> year of higher education studies depending on the amount of credits recognized from the previous program.</w:t>
      </w:r>
    </w:p>
    <w:p w14:paraId="4EA395B2" w14:textId="44B1B0AE" w:rsidR="00CD1FC2" w:rsidRPr="003D6532" w:rsidRDefault="00CD1FC2" w:rsidP="00496F43">
      <w:pPr>
        <w:rPr>
          <w:lang w:val="en-US"/>
        </w:rPr>
      </w:pPr>
      <w:r w:rsidRPr="003D6532">
        <w:rPr>
          <w:lang w:val="en-US"/>
        </w:rPr>
        <w:t xml:space="preserve">Before the reforms in 2009 (to be introduced shortly below), higher education institutions in Russia administered their own admission examinations. </w:t>
      </w:r>
      <w:r>
        <w:rPr>
          <w:lang w:val="en-US"/>
        </w:rPr>
        <w:t xml:space="preserve">Thus, there were </w:t>
      </w:r>
      <w:r w:rsidRPr="003D6532">
        <w:rPr>
          <w:lang w:val="en-US"/>
        </w:rPr>
        <w:t xml:space="preserve">different standards </w:t>
      </w:r>
      <w:r>
        <w:rPr>
          <w:lang w:val="en-US"/>
        </w:rPr>
        <w:t xml:space="preserve">for </w:t>
      </w:r>
      <w:r w:rsidRPr="003D6532">
        <w:rPr>
          <w:lang w:val="en-US"/>
        </w:rPr>
        <w:t xml:space="preserve">evaluating students’ aptitude, which </w:t>
      </w:r>
      <w:r>
        <w:rPr>
          <w:lang w:val="en-US"/>
        </w:rPr>
        <w:t xml:space="preserve">were </w:t>
      </w:r>
      <w:r w:rsidRPr="003D6532">
        <w:rPr>
          <w:lang w:val="en-US"/>
        </w:rPr>
        <w:t xml:space="preserve">often detached from the standards of typical school exit exams. This was particularly the case with highly selective prestigious universities. Thus, to get admitted, students either had to be exceptionally smart or, </w:t>
      </w:r>
      <w:r>
        <w:rPr>
          <w:lang w:val="en-US"/>
        </w:rPr>
        <w:t xml:space="preserve">as </w:t>
      </w:r>
      <w:r w:rsidRPr="003D6532">
        <w:rPr>
          <w:lang w:val="en-US"/>
        </w:rPr>
        <w:t xml:space="preserve">was usually more </w:t>
      </w:r>
      <w:r>
        <w:rPr>
          <w:lang w:val="en-US"/>
        </w:rPr>
        <w:t xml:space="preserve">often </w:t>
      </w:r>
      <w:r w:rsidRPr="003D6532">
        <w:rPr>
          <w:lang w:val="en-US"/>
        </w:rPr>
        <w:t xml:space="preserve">the case, must have acquired additional training elsewhere parallel to their school education. The demand for such additional training was usually fulfilled on a private basis, and it was often catered by higher education institutions themselves. The more formal way of obtaining such training was through various preparatory courses provided at the so-called </w:t>
      </w:r>
      <w:r w:rsidRPr="003D6532">
        <w:rPr>
          <w:i/>
          <w:lang w:val="en-US"/>
        </w:rPr>
        <w:t>faculties of pre-higher education training</w:t>
      </w:r>
      <w:r w:rsidRPr="003D6532">
        <w:rPr>
          <w:lang w:val="en-US"/>
        </w:rPr>
        <w:t xml:space="preserve"> (</w:t>
      </w:r>
      <w:proofErr w:type="spellStart"/>
      <w:r w:rsidRPr="003D6532">
        <w:rPr>
          <w:i/>
          <w:lang w:val="en-US"/>
        </w:rPr>
        <w:t>fakul’teti</w:t>
      </w:r>
      <w:proofErr w:type="spellEnd"/>
      <w:r w:rsidRPr="003D6532">
        <w:rPr>
          <w:i/>
          <w:lang w:val="en-US"/>
        </w:rPr>
        <w:t xml:space="preserve"> </w:t>
      </w:r>
      <w:proofErr w:type="spellStart"/>
      <w:r w:rsidRPr="003D6532">
        <w:rPr>
          <w:i/>
          <w:lang w:val="en-US"/>
        </w:rPr>
        <w:t>dovuzovskoi</w:t>
      </w:r>
      <w:proofErr w:type="spellEnd"/>
      <w:r w:rsidRPr="003D6532">
        <w:rPr>
          <w:i/>
          <w:lang w:val="en-US"/>
        </w:rPr>
        <w:t xml:space="preserve"> </w:t>
      </w:r>
      <w:proofErr w:type="spellStart"/>
      <w:r w:rsidRPr="003D6532">
        <w:rPr>
          <w:i/>
          <w:lang w:val="en-US"/>
        </w:rPr>
        <w:t>podgotovki</w:t>
      </w:r>
      <w:proofErr w:type="spellEnd"/>
      <w:r w:rsidRPr="003D6532">
        <w:rPr>
          <w:lang w:val="en-US"/>
        </w:rPr>
        <w:t xml:space="preserve">). However, there </w:t>
      </w:r>
      <w:r>
        <w:rPr>
          <w:lang w:val="en-US"/>
        </w:rPr>
        <w:t xml:space="preserve">was also </w:t>
      </w:r>
      <w:r w:rsidRPr="003D6532">
        <w:rPr>
          <w:lang w:val="en-US"/>
        </w:rPr>
        <w:t>an informal, more expensive, yet very efficient way, which involved training with private tutors. The</w:t>
      </w:r>
      <w:r>
        <w:rPr>
          <w:lang w:val="en-US"/>
        </w:rPr>
        <w:t>se</w:t>
      </w:r>
      <w:r w:rsidRPr="003D6532">
        <w:rPr>
          <w:lang w:val="en-US"/>
        </w:rPr>
        <w:t xml:space="preserve"> tutors were often affiliated with higher education institutions of interest, which could benefit trainees in terms of not only access to more intimate knowledge about the content of exams</w:t>
      </w:r>
      <w:r>
        <w:rPr>
          <w:lang w:val="en-US"/>
        </w:rPr>
        <w:t xml:space="preserve"> </w:t>
      </w:r>
      <w:r w:rsidRPr="003D6532">
        <w:rPr>
          <w:lang w:val="en-US"/>
        </w:rPr>
        <w:t>but</w:t>
      </w:r>
      <w:r>
        <w:rPr>
          <w:lang w:val="en-US"/>
        </w:rPr>
        <w:t xml:space="preserve"> also</w:t>
      </w:r>
      <w:r w:rsidRPr="003D6532">
        <w:rPr>
          <w:lang w:val="en-US"/>
        </w:rPr>
        <w:t xml:space="preserve"> the likely presence of tutors in examination committees in some cases</w:t>
      </w:r>
      <w:r w:rsidRPr="003D6532">
        <w:rPr>
          <w:rFonts w:cs="Times New Roman"/>
          <w:lang w:val="en-US"/>
        </w:rPr>
        <w:t xml:space="preserve"> (Klein 2012)</w:t>
      </w:r>
      <w:r w:rsidRPr="003D6532">
        <w:rPr>
          <w:lang w:val="en-US"/>
        </w:rPr>
        <w:t>. Obviously, in such a context</w:t>
      </w:r>
      <w:r>
        <w:rPr>
          <w:lang w:val="en-US"/>
        </w:rPr>
        <w:t>,</w:t>
      </w:r>
      <w:r w:rsidRPr="003D6532">
        <w:rPr>
          <w:lang w:val="en-US"/>
        </w:rPr>
        <w:t xml:space="preserve"> children from upper class families, especially in urban areas, enjoyed </w:t>
      </w:r>
      <w:r>
        <w:rPr>
          <w:lang w:val="en-US"/>
        </w:rPr>
        <w:t xml:space="preserve">an </w:t>
      </w:r>
      <w:r w:rsidRPr="003D6532">
        <w:rPr>
          <w:lang w:val="en-US"/>
        </w:rPr>
        <w:t xml:space="preserve">exceptional advantage in access to higher education, </w:t>
      </w:r>
      <w:r>
        <w:rPr>
          <w:lang w:val="en-US"/>
        </w:rPr>
        <w:t>since</w:t>
      </w:r>
      <w:r w:rsidRPr="003D6532">
        <w:rPr>
          <w:lang w:val="en-US"/>
        </w:rPr>
        <w:t xml:space="preserve"> they were the ones who could afford such </w:t>
      </w:r>
      <w:r w:rsidRPr="003D6532">
        <w:rPr>
          <w:lang w:val="en-US"/>
        </w:rPr>
        <w:lastRenderedPageBreak/>
        <w:t xml:space="preserve">extracurricular training </w:t>
      </w:r>
      <w:r>
        <w:rPr>
          <w:lang w:val="en-US"/>
        </w:rPr>
        <w:t xml:space="preserve">to </w:t>
      </w:r>
      <w:r w:rsidRPr="003D6532">
        <w:rPr>
          <w:lang w:val="en-US"/>
        </w:rPr>
        <w:t xml:space="preserve">greatly increase </w:t>
      </w:r>
      <w:r>
        <w:rPr>
          <w:lang w:val="en-US"/>
        </w:rPr>
        <w:t xml:space="preserve">their </w:t>
      </w:r>
      <w:r w:rsidRPr="003D6532">
        <w:rPr>
          <w:lang w:val="en-US"/>
        </w:rPr>
        <w:t xml:space="preserve">chance of admission </w:t>
      </w:r>
      <w:r w:rsidRPr="003D6532">
        <w:rPr>
          <w:rFonts w:cs="Times New Roman"/>
          <w:szCs w:val="24"/>
          <w:lang w:val="en-US"/>
        </w:rPr>
        <w:t>(</w:t>
      </w:r>
      <w:proofErr w:type="spellStart"/>
      <w:r w:rsidRPr="003D6532">
        <w:rPr>
          <w:rFonts w:cs="Times New Roman"/>
          <w:szCs w:val="24"/>
          <w:lang w:val="en-US"/>
        </w:rPr>
        <w:t>Roschina</w:t>
      </w:r>
      <w:proofErr w:type="spellEnd"/>
      <w:r w:rsidRPr="003D6532">
        <w:rPr>
          <w:rFonts w:cs="Times New Roman"/>
          <w:szCs w:val="24"/>
          <w:lang w:val="en-US"/>
        </w:rPr>
        <w:t xml:space="preserve"> et al. 2006)</w:t>
      </w:r>
      <w:r w:rsidRPr="003D6532">
        <w:rPr>
          <w:lang w:val="en-US"/>
        </w:rPr>
        <w:t xml:space="preserve">. In the context of sharp social inequalities, which were characteristic of post-Soviet Russia, sharp inequality in the educational system </w:t>
      </w:r>
      <w:r>
        <w:rPr>
          <w:lang w:val="en-US"/>
        </w:rPr>
        <w:t xml:space="preserve">arose </w:t>
      </w:r>
      <w:r w:rsidRPr="003D6532">
        <w:rPr>
          <w:rFonts w:cs="Times New Roman"/>
          <w:lang w:val="en-US"/>
        </w:rPr>
        <w:t>(Gerber 2000)</w:t>
      </w:r>
      <w:r w:rsidRPr="003D6532">
        <w:rPr>
          <w:lang w:val="en-US"/>
        </w:rPr>
        <w:t>.</w:t>
      </w:r>
    </w:p>
    <w:p w14:paraId="544DC6F1" w14:textId="77777777" w:rsidR="00CD1FC2" w:rsidRPr="003D6532" w:rsidRDefault="00CD1FC2" w:rsidP="00496F43">
      <w:pPr>
        <w:rPr>
          <w:lang w:val="en-US"/>
        </w:rPr>
      </w:pPr>
    </w:p>
    <w:p w14:paraId="45F49D92" w14:textId="117E5058" w:rsidR="00CD1FC2" w:rsidRPr="003D6532" w:rsidRDefault="00CD1FC2" w:rsidP="007E1872">
      <w:pPr>
        <w:pStyle w:val="Heading2"/>
        <w:rPr>
          <w:lang w:val="en-US"/>
        </w:rPr>
      </w:pPr>
      <w:r w:rsidRPr="003D6532">
        <w:rPr>
          <w:lang w:val="en-US"/>
        </w:rPr>
        <w:t>2.2 USE reform and higher education through vocational schools</w:t>
      </w:r>
    </w:p>
    <w:p w14:paraId="393D6910" w14:textId="3E2583AD" w:rsidR="00CD1FC2" w:rsidRPr="003D6532" w:rsidRDefault="00CD1FC2" w:rsidP="003C290B">
      <w:pPr>
        <w:rPr>
          <w:color w:val="000000" w:themeColor="text1"/>
          <w:lang w:val="en-US"/>
        </w:rPr>
      </w:pPr>
      <w:r w:rsidRPr="003D6532">
        <w:rPr>
          <w:lang w:val="en-US"/>
        </w:rPr>
        <w:t>In 2009, the USE reform was implemented nationwide.</w:t>
      </w:r>
      <w:r w:rsidRPr="003D6532">
        <w:rPr>
          <w:rStyle w:val="EndnoteReference"/>
          <w:lang w:val="en-US"/>
        </w:rPr>
        <w:endnoteReference w:id="4"/>
      </w:r>
      <w:r w:rsidRPr="003D6532">
        <w:rPr>
          <w:lang w:val="en-US"/>
        </w:rPr>
        <w:t xml:space="preserve"> The reform has completely standardized the evaluation of </w:t>
      </w:r>
      <w:r>
        <w:rPr>
          <w:lang w:val="en-US"/>
        </w:rPr>
        <w:t xml:space="preserve">students’ </w:t>
      </w:r>
      <w:r w:rsidRPr="003D6532">
        <w:rPr>
          <w:lang w:val="en-US"/>
        </w:rPr>
        <w:t xml:space="preserve">academic record upon the completion of secondary (complete) general education by </w:t>
      </w:r>
      <w:r>
        <w:rPr>
          <w:lang w:val="en-US"/>
        </w:rPr>
        <w:t xml:space="preserve">implementing </w:t>
      </w:r>
      <w:r w:rsidRPr="003D6532">
        <w:rPr>
          <w:lang w:val="en-US"/>
        </w:rPr>
        <w:t xml:space="preserve">centrally administered exams, which replaced the admission exams previously administered by higher education institutions. On the one hand, this </w:t>
      </w:r>
      <w:r>
        <w:rPr>
          <w:lang w:val="en-US"/>
        </w:rPr>
        <w:t xml:space="preserve">reform </w:t>
      </w:r>
      <w:r w:rsidRPr="003D6532">
        <w:rPr>
          <w:lang w:val="en-US"/>
        </w:rPr>
        <w:t>was thought to facilitate the selection of better-trained and more competent candidates into advanced educational programs</w:t>
      </w:r>
      <w:r>
        <w:rPr>
          <w:lang w:val="en-US"/>
        </w:rPr>
        <w:t>,</w:t>
      </w:r>
      <w:r w:rsidRPr="003D6532">
        <w:rPr>
          <w:lang w:val="en-US"/>
        </w:rPr>
        <w:t xml:space="preserve"> thereby promoting the efficiency of the educational system. On the other hand, </w:t>
      </w:r>
      <w:r>
        <w:rPr>
          <w:lang w:val="en-US"/>
        </w:rPr>
        <w:t>it</w:t>
      </w:r>
      <w:r w:rsidRPr="003D6532">
        <w:rPr>
          <w:lang w:val="en-US"/>
        </w:rPr>
        <w:t xml:space="preserve"> was thought to remedy the problem of social inequality primarily by rendering most kinds of pre-higher education training irrelevant and subjecting all </w:t>
      </w:r>
      <w:r w:rsidRPr="003D6532">
        <w:rPr>
          <w:color w:val="000000" w:themeColor="text1"/>
          <w:lang w:val="en-US"/>
        </w:rPr>
        <w:t xml:space="preserve">students to equal admissions criteria. </w:t>
      </w:r>
    </w:p>
    <w:p w14:paraId="047D754A" w14:textId="6C11D03A" w:rsidR="00CD1FC2" w:rsidRPr="003D6532" w:rsidRDefault="00CD1FC2" w:rsidP="003C290B">
      <w:pPr>
        <w:rPr>
          <w:lang w:val="en-US"/>
        </w:rPr>
      </w:pPr>
      <w:r>
        <w:rPr>
          <w:lang w:val="en-US"/>
        </w:rPr>
        <w:t xml:space="preserve">Although </w:t>
      </w:r>
      <w:r w:rsidRPr="003D6532">
        <w:rPr>
          <w:lang w:val="en-US"/>
        </w:rPr>
        <w:t>the USE has become the primary filter</w:t>
      </w:r>
      <w:r>
        <w:rPr>
          <w:lang w:val="en-US"/>
        </w:rPr>
        <w:t xml:space="preserve"> </w:t>
      </w:r>
      <w:r w:rsidRPr="003D6532">
        <w:rPr>
          <w:lang w:val="en-US"/>
        </w:rPr>
        <w:t xml:space="preserve">through which students </w:t>
      </w:r>
      <w:r>
        <w:rPr>
          <w:lang w:val="en-US"/>
        </w:rPr>
        <w:t xml:space="preserve">are </w:t>
      </w:r>
      <w:r w:rsidRPr="003D6532">
        <w:rPr>
          <w:lang w:val="en-US"/>
        </w:rPr>
        <w:t xml:space="preserve">selected into higher education in Russia, it has not been universally applied to </w:t>
      </w:r>
      <w:r w:rsidRPr="003D6532">
        <w:rPr>
          <w:i/>
          <w:lang w:val="en-US"/>
        </w:rPr>
        <w:t>all</w:t>
      </w:r>
      <w:r w:rsidRPr="003D6532">
        <w:rPr>
          <w:lang w:val="en-US"/>
        </w:rPr>
        <w:t xml:space="preserve"> kinds of transition into higher education. The strict requirement to submit the USE results for admission applies exclusively to graduates of secondary general schools. Surprisingly</w:t>
      </w:r>
      <w:r>
        <w:rPr>
          <w:lang w:val="en-US"/>
        </w:rPr>
        <w:t>,</w:t>
      </w:r>
      <w:r w:rsidRPr="003D6532">
        <w:rPr>
          <w:lang w:val="en-US"/>
        </w:rPr>
        <w:t xml:space="preserve"> </w:t>
      </w:r>
      <w:r>
        <w:rPr>
          <w:lang w:val="en-US"/>
        </w:rPr>
        <w:t>however</w:t>
      </w:r>
      <w:r w:rsidRPr="003D6532">
        <w:rPr>
          <w:lang w:val="en-US"/>
        </w:rPr>
        <w:t xml:space="preserve">, no such </w:t>
      </w:r>
      <w:r>
        <w:rPr>
          <w:lang w:val="en-US"/>
        </w:rPr>
        <w:t>requirement</w:t>
      </w:r>
      <w:r w:rsidRPr="003D6532">
        <w:rPr>
          <w:lang w:val="en-US"/>
        </w:rPr>
        <w:t xml:space="preserve"> exists with respect to the applicants with secondary vocational degrees: according to currently existing regulations in Russia, higher education institutions can waive the USE results in favor of locally administered admission procedures for secondary vocational school graduates. </w:t>
      </w:r>
      <w:r>
        <w:rPr>
          <w:lang w:val="en-US"/>
        </w:rPr>
        <w:t xml:space="preserve">Hence, </w:t>
      </w:r>
      <w:r w:rsidRPr="003D6532">
        <w:rPr>
          <w:lang w:val="en-US"/>
        </w:rPr>
        <w:t xml:space="preserve">secondary vocational education </w:t>
      </w:r>
      <w:r>
        <w:rPr>
          <w:lang w:val="en-US"/>
        </w:rPr>
        <w:t xml:space="preserve">is </w:t>
      </w:r>
      <w:r w:rsidRPr="003D6532">
        <w:rPr>
          <w:lang w:val="en-US"/>
        </w:rPr>
        <w:t xml:space="preserve">a potentially attractive alternative pathway to higher education for students </w:t>
      </w:r>
      <w:r>
        <w:rPr>
          <w:lang w:val="en-US"/>
        </w:rPr>
        <w:t xml:space="preserve">who </w:t>
      </w:r>
      <w:r w:rsidRPr="003D6532">
        <w:rPr>
          <w:lang w:val="en-US"/>
        </w:rPr>
        <w:t xml:space="preserve">may seek to avoid the risks and costs associated with the USE. For such students, this pseudo-academic pathway becomes all the more attractive given that secondary vocational schools are usually less selective with </w:t>
      </w:r>
      <w:r w:rsidRPr="003D6532">
        <w:rPr>
          <w:lang w:val="en-US"/>
        </w:rPr>
        <w:lastRenderedPageBreak/>
        <w:t>regard to student intake than traditional academic programs in secondary general schools, and as such</w:t>
      </w:r>
      <w:r>
        <w:rPr>
          <w:lang w:val="en-US"/>
        </w:rPr>
        <w:t>,</w:t>
      </w:r>
      <w:r w:rsidRPr="003D6532">
        <w:rPr>
          <w:lang w:val="en-US"/>
        </w:rPr>
        <w:t xml:space="preserve"> they also feature a less challenging educational environment. Available qualitative evidence corroborates this intuition, at least to some extent: the principals of secondary vocational schools speculate that it could be the reason behind the disproportionate increase in the number of applications from 9</w:t>
      </w:r>
      <w:r w:rsidRPr="003D6532">
        <w:rPr>
          <w:vertAlign w:val="superscript"/>
          <w:lang w:val="en-US"/>
        </w:rPr>
        <w:t>th</w:t>
      </w:r>
      <w:r w:rsidRPr="003D6532">
        <w:rPr>
          <w:lang w:val="en-US"/>
        </w:rPr>
        <w:t xml:space="preserve"> graders, which the schools experienced immediately after the introduction of the USE </w:t>
      </w:r>
      <w:r w:rsidRPr="003D6532">
        <w:rPr>
          <w:rFonts w:cs="Times New Roman"/>
          <w:lang w:val="en-US"/>
        </w:rPr>
        <w:t>(</w:t>
      </w:r>
      <w:proofErr w:type="spellStart"/>
      <w:r w:rsidRPr="003D6532">
        <w:rPr>
          <w:rFonts w:cs="Times New Roman"/>
          <w:lang w:val="en-US"/>
        </w:rPr>
        <w:t>Alexandrov</w:t>
      </w:r>
      <w:proofErr w:type="spellEnd"/>
      <w:r w:rsidRPr="003D6532">
        <w:rPr>
          <w:rFonts w:cs="Times New Roman"/>
          <w:lang w:val="en-US"/>
        </w:rPr>
        <w:t xml:space="preserve"> et al. 2015:9)</w:t>
      </w:r>
      <w:r w:rsidRPr="003D6532">
        <w:rPr>
          <w:lang w:val="en-US"/>
        </w:rPr>
        <w:t xml:space="preserve">. </w:t>
      </w:r>
    </w:p>
    <w:p w14:paraId="5C094F67" w14:textId="67457DB8" w:rsidR="00CD1FC2" w:rsidRPr="003D6532" w:rsidRDefault="00CD1FC2" w:rsidP="00715FD8">
      <w:pPr>
        <w:rPr>
          <w:lang w:val="en-US"/>
        </w:rPr>
      </w:pPr>
      <w:r>
        <w:rPr>
          <w:lang w:val="en-US"/>
        </w:rPr>
        <w:t xml:space="preserve">The </w:t>
      </w:r>
      <w:r w:rsidRPr="003D6532">
        <w:rPr>
          <w:lang w:val="en-US"/>
        </w:rPr>
        <w:t xml:space="preserve">potentially powerful </w:t>
      </w:r>
      <w:r>
        <w:rPr>
          <w:lang w:val="en-US"/>
        </w:rPr>
        <w:t xml:space="preserve">influence of </w:t>
      </w:r>
      <w:r w:rsidRPr="003D6532">
        <w:rPr>
          <w:lang w:val="en-US"/>
        </w:rPr>
        <w:t xml:space="preserve">the USE reform in reshaping educational pathways can also be inferred from </w:t>
      </w:r>
      <w:r w:rsidRPr="003D6532">
        <w:rPr>
          <w:lang w:val="en-US"/>
        </w:rPr>
        <w:fldChar w:fldCharType="begin"/>
      </w:r>
      <w:r w:rsidRPr="003D6532">
        <w:rPr>
          <w:lang w:val="en-US"/>
        </w:rPr>
        <w:instrText xml:space="preserve"> REF _Ref475381662 </w:instrText>
      </w:r>
      <w:r w:rsidRPr="003D6532">
        <w:rPr>
          <w:lang w:val="en-US"/>
        </w:rPr>
        <w:fldChar w:fldCharType="separate"/>
      </w:r>
      <w:r w:rsidRPr="003D6532">
        <w:rPr>
          <w:lang w:val="en-US"/>
        </w:rPr>
        <w:t>Figure 1</w:t>
      </w:r>
      <w:r w:rsidRPr="003D6532">
        <w:rPr>
          <w:lang w:val="en-US"/>
        </w:rPr>
        <w:fldChar w:fldCharType="end"/>
      </w:r>
      <w:r w:rsidRPr="003D6532">
        <w:rPr>
          <w:lang w:val="en-US"/>
        </w:rPr>
        <w:t xml:space="preserve">. </w:t>
      </w:r>
      <w:r>
        <w:rPr>
          <w:lang w:val="en-US"/>
        </w:rPr>
        <w:t>E</w:t>
      </w:r>
      <w:r w:rsidRPr="003D6532">
        <w:rPr>
          <w:lang w:val="en-US"/>
        </w:rPr>
        <w:t xml:space="preserve">ducational expansion, which was fueled by an ever increasing share of enrolment in higher education, suddenly halted in 2009, when the USE </w:t>
      </w:r>
      <w:r>
        <w:rPr>
          <w:lang w:val="en-US"/>
        </w:rPr>
        <w:t xml:space="preserve">was </w:t>
      </w:r>
      <w:r w:rsidRPr="003D6532">
        <w:rPr>
          <w:lang w:val="en-US"/>
        </w:rPr>
        <w:t xml:space="preserve">implemented nationwide. After 2009, this expansion </w:t>
      </w:r>
      <w:r>
        <w:rPr>
          <w:lang w:val="en-US"/>
        </w:rPr>
        <w:t xml:space="preserve">was </w:t>
      </w:r>
      <w:r w:rsidRPr="003D6532">
        <w:rPr>
          <w:lang w:val="en-US"/>
        </w:rPr>
        <w:t>replaced by increasing enrolment in secondary vocational education, suggesting that the reform has pulled many students away from higher education. To our knowledge</w:t>
      </w:r>
      <w:r>
        <w:rPr>
          <w:lang w:val="en-US"/>
        </w:rPr>
        <w:t>,</w:t>
      </w:r>
      <w:r w:rsidRPr="003D6532">
        <w:rPr>
          <w:lang w:val="en-US"/>
        </w:rPr>
        <w:t xml:space="preserve"> no other reform or process would have explained such sharp discontinuity immediately after 2009. The relatively stable share of enrolment in primary vocational education provides an interesting counterfactual: the state of its attractiveness relative to secondary vocational and higher education remained invariant to the USE reform, because it neither facilitates transitions to other educational programs</w:t>
      </w:r>
      <w:r>
        <w:rPr>
          <w:lang w:val="en-US"/>
        </w:rPr>
        <w:t xml:space="preserve"> </w:t>
      </w:r>
      <w:r w:rsidRPr="003D6532">
        <w:rPr>
          <w:lang w:val="en-US"/>
        </w:rPr>
        <w:t>nor offer</w:t>
      </w:r>
      <w:r>
        <w:rPr>
          <w:lang w:val="en-US"/>
        </w:rPr>
        <w:t>s</w:t>
      </w:r>
      <w:r w:rsidRPr="003D6532">
        <w:rPr>
          <w:lang w:val="en-US"/>
        </w:rPr>
        <w:t xml:space="preserve"> a way of bypassing the USE in the manner described above.</w:t>
      </w:r>
    </w:p>
    <w:p w14:paraId="6C38131C" w14:textId="77777777" w:rsidR="00CD1FC2" w:rsidRPr="003D6532" w:rsidRDefault="00CD1FC2" w:rsidP="00715FD8">
      <w:pPr>
        <w:rPr>
          <w:lang w:val="en-US"/>
        </w:rPr>
      </w:pPr>
    </w:p>
    <w:p w14:paraId="3E41FA34" w14:textId="77777777" w:rsidR="00CD1FC2" w:rsidRPr="003D6532" w:rsidRDefault="00CD1FC2" w:rsidP="007F07F6">
      <w:pPr>
        <w:pStyle w:val="Caption"/>
        <w:rPr>
          <w:lang w:val="en-US"/>
        </w:rPr>
      </w:pPr>
      <w:bookmarkStart w:id="4" w:name="_Ref475381662"/>
      <w:r w:rsidRPr="003D6532">
        <w:rPr>
          <w:lang w:val="en-US"/>
        </w:rPr>
        <w:t xml:space="preserve">Figure </w:t>
      </w:r>
      <w:r w:rsidRPr="003D6532">
        <w:rPr>
          <w:lang w:val="en-US"/>
        </w:rPr>
        <w:fldChar w:fldCharType="begin"/>
      </w:r>
      <w:r w:rsidRPr="003D6532">
        <w:rPr>
          <w:lang w:val="en-US"/>
        </w:rPr>
        <w:instrText xml:space="preserve"> SEQ Figure \* ARABIC </w:instrText>
      </w:r>
      <w:r w:rsidRPr="003D6532">
        <w:rPr>
          <w:lang w:val="en-US"/>
        </w:rPr>
        <w:fldChar w:fldCharType="separate"/>
      </w:r>
      <w:r w:rsidRPr="003D6532">
        <w:rPr>
          <w:lang w:val="en-US"/>
        </w:rPr>
        <w:t>1</w:t>
      </w:r>
      <w:r w:rsidRPr="003D6532">
        <w:rPr>
          <w:lang w:val="en-US"/>
        </w:rPr>
        <w:fldChar w:fldCharType="end"/>
      </w:r>
      <w:bookmarkEnd w:id="4"/>
      <w:r w:rsidRPr="003D6532">
        <w:rPr>
          <w:lang w:val="en-US"/>
        </w:rPr>
        <w:t xml:space="preserve"> about here</w:t>
      </w:r>
    </w:p>
    <w:p w14:paraId="04287F6D" w14:textId="77777777" w:rsidR="00CD1FC2" w:rsidRPr="003D6532" w:rsidRDefault="00CD1FC2" w:rsidP="00C51E96">
      <w:pPr>
        <w:rPr>
          <w:lang w:val="en-US"/>
        </w:rPr>
      </w:pPr>
    </w:p>
    <w:p w14:paraId="20AD269B" w14:textId="1A5F5B96" w:rsidR="00CD1FC2" w:rsidRPr="003D6532" w:rsidRDefault="00CD1FC2" w:rsidP="00D313FE">
      <w:pPr>
        <w:rPr>
          <w:lang w:val="en-US"/>
        </w:rPr>
      </w:pPr>
      <w:r>
        <w:rPr>
          <w:lang w:val="en-US"/>
        </w:rPr>
        <w:t>The p</w:t>
      </w:r>
      <w:r w:rsidRPr="003D6532">
        <w:rPr>
          <w:lang w:val="en-US"/>
        </w:rPr>
        <w:t xml:space="preserve">seudo-academic pathway to higher education remains attractive for other important reasons, some of which have been stated earlier. First, vocational level qualifications may serve as a safety net in case of </w:t>
      </w:r>
      <w:r>
        <w:rPr>
          <w:lang w:val="en-US"/>
        </w:rPr>
        <w:t xml:space="preserve">students’ </w:t>
      </w:r>
      <w:r w:rsidRPr="003D6532">
        <w:rPr>
          <w:lang w:val="en-US"/>
        </w:rPr>
        <w:t xml:space="preserve">possible failure in higher education </w:t>
      </w:r>
      <w:r w:rsidRPr="003D6532">
        <w:rPr>
          <w:rFonts w:cs="Times New Roman"/>
          <w:szCs w:val="24"/>
          <w:lang w:val="en-US"/>
        </w:rPr>
        <w:t>(</w:t>
      </w:r>
      <w:proofErr w:type="spellStart"/>
      <w:r w:rsidRPr="003D6532">
        <w:rPr>
          <w:rFonts w:cs="Times New Roman"/>
          <w:szCs w:val="24"/>
          <w:lang w:val="en-US"/>
        </w:rPr>
        <w:t>Büchel</w:t>
      </w:r>
      <w:proofErr w:type="spellEnd"/>
      <w:r w:rsidRPr="003D6532">
        <w:rPr>
          <w:rFonts w:cs="Times New Roman"/>
          <w:szCs w:val="24"/>
          <w:lang w:val="en-US"/>
        </w:rPr>
        <w:t xml:space="preserve"> and </w:t>
      </w:r>
      <w:proofErr w:type="spellStart"/>
      <w:r w:rsidRPr="003D6532">
        <w:rPr>
          <w:rFonts w:cs="Times New Roman"/>
          <w:szCs w:val="24"/>
          <w:lang w:val="en-US"/>
        </w:rPr>
        <w:t>Helberger</w:t>
      </w:r>
      <w:proofErr w:type="spellEnd"/>
      <w:r w:rsidRPr="003D6532">
        <w:rPr>
          <w:rFonts w:cs="Times New Roman"/>
          <w:szCs w:val="24"/>
          <w:lang w:val="en-US"/>
        </w:rPr>
        <w:t xml:space="preserve"> 1995; </w:t>
      </w:r>
      <w:proofErr w:type="spellStart"/>
      <w:r w:rsidRPr="003D6532">
        <w:rPr>
          <w:rFonts w:cs="Times New Roman"/>
          <w:szCs w:val="24"/>
          <w:lang w:val="en-US"/>
        </w:rPr>
        <w:t>Shavit</w:t>
      </w:r>
      <w:proofErr w:type="spellEnd"/>
      <w:r w:rsidRPr="003D6532">
        <w:rPr>
          <w:rFonts w:cs="Times New Roman"/>
          <w:szCs w:val="24"/>
          <w:lang w:val="en-US"/>
        </w:rPr>
        <w:t xml:space="preserve"> and Muller 2000)</w:t>
      </w:r>
      <w:r w:rsidRPr="003D6532">
        <w:rPr>
          <w:lang w:val="en-US"/>
        </w:rPr>
        <w:t>. Second, the pathway itself does not usually retard the process of educational attainment, and in some cases</w:t>
      </w:r>
      <w:r>
        <w:rPr>
          <w:lang w:val="en-US"/>
        </w:rPr>
        <w:t>,</w:t>
      </w:r>
      <w:r w:rsidRPr="003D6532">
        <w:rPr>
          <w:lang w:val="en-US"/>
        </w:rPr>
        <w:t xml:space="preserve"> it can even </w:t>
      </w:r>
      <w:r w:rsidRPr="003D6532">
        <w:rPr>
          <w:lang w:val="en-US"/>
        </w:rPr>
        <w:lastRenderedPageBreak/>
        <w:t>spare one year of studies (e.g.</w:t>
      </w:r>
      <w:r>
        <w:rPr>
          <w:lang w:val="en-US"/>
        </w:rPr>
        <w:t>,</w:t>
      </w:r>
      <w:r w:rsidRPr="003D6532">
        <w:rPr>
          <w:lang w:val="en-US"/>
        </w:rPr>
        <w:t xml:space="preserve"> </w:t>
      </w:r>
      <w:r>
        <w:rPr>
          <w:lang w:val="en-US"/>
        </w:rPr>
        <w:t xml:space="preserve">if students </w:t>
      </w:r>
      <w:r w:rsidRPr="003D6532">
        <w:rPr>
          <w:lang w:val="en-US"/>
        </w:rPr>
        <w:t>enrol</w:t>
      </w:r>
      <w:r>
        <w:rPr>
          <w:lang w:val="en-US"/>
        </w:rPr>
        <w:t>l</w:t>
      </w:r>
      <w:r w:rsidRPr="003D6532">
        <w:rPr>
          <w:lang w:val="en-US"/>
        </w:rPr>
        <w:t xml:space="preserve"> in the 3</w:t>
      </w:r>
      <w:r w:rsidRPr="003D6532">
        <w:rPr>
          <w:vertAlign w:val="superscript"/>
          <w:lang w:val="en-US"/>
        </w:rPr>
        <w:t>rd</w:t>
      </w:r>
      <w:r w:rsidRPr="003D6532">
        <w:rPr>
          <w:lang w:val="en-US"/>
        </w:rPr>
        <w:t xml:space="preserve"> year of a higher education program after completing a 3-year vocational program after 9</w:t>
      </w:r>
      <w:r w:rsidRPr="003D6532">
        <w:rPr>
          <w:vertAlign w:val="superscript"/>
          <w:lang w:val="en-US"/>
        </w:rPr>
        <w:t>th</w:t>
      </w:r>
      <w:r w:rsidRPr="003D6532">
        <w:rPr>
          <w:lang w:val="en-US"/>
        </w:rPr>
        <w:t xml:space="preserve"> grade). </w:t>
      </w:r>
    </w:p>
    <w:p w14:paraId="1214C5F7" w14:textId="1400228E" w:rsidR="00CD1FC2" w:rsidRPr="003D6532" w:rsidRDefault="00CD1FC2" w:rsidP="00FA4271">
      <w:pPr>
        <w:rPr>
          <w:lang w:val="en-US"/>
        </w:rPr>
      </w:pPr>
      <w:r w:rsidRPr="003D6532">
        <w:rPr>
          <w:lang w:val="en-US"/>
        </w:rPr>
        <w:t>Quite remarkably, the institutional idiosyncrasy of the Russian educational system, which we described above, appears not simply as a static feature</w:t>
      </w:r>
      <w:r>
        <w:rPr>
          <w:lang w:val="en-US"/>
        </w:rPr>
        <w:t xml:space="preserve"> </w:t>
      </w:r>
      <w:r w:rsidRPr="003D6532">
        <w:rPr>
          <w:lang w:val="en-US"/>
        </w:rPr>
        <w:t xml:space="preserve">but </w:t>
      </w:r>
      <w:r>
        <w:rPr>
          <w:lang w:val="en-US"/>
        </w:rPr>
        <w:t xml:space="preserve">as </w:t>
      </w:r>
      <w:r w:rsidRPr="003D6532">
        <w:rPr>
          <w:lang w:val="en-US"/>
        </w:rPr>
        <w:t xml:space="preserve">one </w:t>
      </w:r>
      <w:r>
        <w:rPr>
          <w:lang w:val="en-US"/>
        </w:rPr>
        <w:t xml:space="preserve">that </w:t>
      </w:r>
      <w:r w:rsidRPr="003D6532">
        <w:rPr>
          <w:lang w:val="en-US"/>
        </w:rPr>
        <w:t xml:space="preserve">has been evolving in response to the interests of both educational institutions and families seeking to secure their children’s futures. </w:t>
      </w:r>
      <w:proofErr w:type="spellStart"/>
      <w:r w:rsidRPr="003D6532">
        <w:rPr>
          <w:lang w:val="en-US"/>
        </w:rPr>
        <w:t>Alexandrov</w:t>
      </w:r>
      <w:proofErr w:type="spellEnd"/>
      <w:r w:rsidRPr="003D6532">
        <w:rPr>
          <w:lang w:val="en-US"/>
        </w:rPr>
        <w:t xml:space="preserve"> et al. </w:t>
      </w:r>
      <w:r w:rsidRPr="003D6532">
        <w:rPr>
          <w:rFonts w:cs="Times New Roman"/>
          <w:lang w:val="en-US"/>
        </w:rPr>
        <w:t>(2015)</w:t>
      </w:r>
      <w:r w:rsidRPr="003D6532">
        <w:rPr>
          <w:lang w:val="en-US"/>
        </w:rPr>
        <w:t xml:space="preserve"> identify at least two forms</w:t>
      </w:r>
      <w:r>
        <w:rPr>
          <w:lang w:val="en-US"/>
        </w:rPr>
        <w:t xml:space="preserve"> </w:t>
      </w:r>
      <w:r w:rsidRPr="003D6532">
        <w:rPr>
          <w:lang w:val="en-US"/>
        </w:rPr>
        <w:t xml:space="preserve">through which this pathway is currently being institutionalized and promoted in the system: 1) the establishment of bilateral institutional agreements between secondary vocational schools and higher educational institutions and 2) the occasional absorption of secondary vocational schools by higher education institutions followed by </w:t>
      </w:r>
      <w:r>
        <w:rPr>
          <w:lang w:val="en-US"/>
        </w:rPr>
        <w:t xml:space="preserve">the </w:t>
      </w:r>
      <w:r w:rsidRPr="003D6532">
        <w:rPr>
          <w:lang w:val="en-US"/>
        </w:rPr>
        <w:t>reorganization of the former as separate faculties providing secondary vocational training. Incidentally, in the latter context</w:t>
      </w:r>
      <w:r>
        <w:rPr>
          <w:lang w:val="en-US"/>
        </w:rPr>
        <w:t>,</w:t>
      </w:r>
      <w:r w:rsidRPr="003D6532">
        <w:rPr>
          <w:lang w:val="en-US"/>
        </w:rPr>
        <w:t xml:space="preserve"> secondary vocational programs seem to approximate the function previously ascribed to faculties of pre-higher education training, which existed before the introduction of the USE. Namely, such programs </w:t>
      </w:r>
      <w:r>
        <w:rPr>
          <w:lang w:val="en-US"/>
        </w:rPr>
        <w:t xml:space="preserve">offer </w:t>
      </w:r>
      <w:r w:rsidRPr="003D6532">
        <w:rPr>
          <w:lang w:val="en-US"/>
        </w:rPr>
        <w:t xml:space="preserve">an alternative pathway to higher education, in which the selection </w:t>
      </w:r>
      <w:r>
        <w:rPr>
          <w:lang w:val="en-US"/>
        </w:rPr>
        <w:t>process</w:t>
      </w:r>
      <w:r w:rsidRPr="003D6532">
        <w:rPr>
          <w:lang w:val="en-US"/>
        </w:rPr>
        <w:t xml:space="preserve"> might follow principles </w:t>
      </w:r>
      <w:r>
        <w:rPr>
          <w:lang w:val="en-US"/>
        </w:rPr>
        <w:t xml:space="preserve">that </w:t>
      </w:r>
      <w:r w:rsidRPr="003D6532">
        <w:rPr>
          <w:lang w:val="en-US"/>
        </w:rPr>
        <w:t xml:space="preserve">differ from the meritocratic orientation of the USE. </w:t>
      </w:r>
    </w:p>
    <w:p w14:paraId="25C998F8" w14:textId="2EDA0992" w:rsidR="00CD1FC2" w:rsidRPr="003D6532" w:rsidRDefault="00CD1FC2" w:rsidP="00B314F2">
      <w:pPr>
        <w:rPr>
          <w:lang w:val="en-US"/>
        </w:rPr>
      </w:pPr>
      <w:r w:rsidRPr="003D6532">
        <w:rPr>
          <w:lang w:val="en-US"/>
        </w:rPr>
        <w:t xml:space="preserve">It must be recognized, however, that </w:t>
      </w:r>
      <w:r>
        <w:rPr>
          <w:lang w:val="en-US"/>
        </w:rPr>
        <w:t xml:space="preserve">the </w:t>
      </w:r>
      <w:r w:rsidRPr="003D6532">
        <w:rPr>
          <w:lang w:val="en-US"/>
        </w:rPr>
        <w:t>lower selectivity of secondary vocational schools might also be associated with generally lower quality of higher education obtained via pseudo-academic pathways. Often</w:t>
      </w:r>
      <w:r>
        <w:rPr>
          <w:lang w:val="en-US"/>
        </w:rPr>
        <w:t>,</w:t>
      </w:r>
      <w:r w:rsidRPr="003D6532">
        <w:rPr>
          <w:lang w:val="en-US"/>
        </w:rPr>
        <w:t xml:space="preserve"> this tends to be part-time higher education, which is generally considered to be of inferior quality </w:t>
      </w:r>
      <w:r>
        <w:rPr>
          <w:lang w:val="en-US"/>
        </w:rPr>
        <w:t xml:space="preserve">than </w:t>
      </w:r>
      <w:r w:rsidRPr="003D6532">
        <w:rPr>
          <w:lang w:val="en-US"/>
        </w:rPr>
        <w:t xml:space="preserve">full-time education in Russia </w:t>
      </w:r>
      <w:r w:rsidRPr="003D6532">
        <w:rPr>
          <w:rFonts w:cs="Times New Roman"/>
          <w:lang w:val="en-US"/>
        </w:rPr>
        <w:t>(</w:t>
      </w:r>
      <w:proofErr w:type="spellStart"/>
      <w:r w:rsidRPr="003D6532">
        <w:rPr>
          <w:rFonts w:cs="Times New Roman"/>
          <w:lang w:val="en-US"/>
        </w:rPr>
        <w:t>Alexandrov</w:t>
      </w:r>
      <w:proofErr w:type="spellEnd"/>
      <w:r w:rsidRPr="003D6532">
        <w:rPr>
          <w:rFonts w:cs="Times New Roman"/>
          <w:lang w:val="en-US"/>
        </w:rPr>
        <w:t xml:space="preserve"> et al. 2015)</w:t>
      </w:r>
      <w:r w:rsidRPr="003D6532">
        <w:rPr>
          <w:lang w:val="en-US"/>
        </w:rPr>
        <w:t xml:space="preserve">, and it is also known to yield lower returns on the labor market </w:t>
      </w:r>
      <w:r w:rsidRPr="003D6532">
        <w:rPr>
          <w:rFonts w:cs="Times New Roman"/>
          <w:lang w:val="en-US"/>
        </w:rPr>
        <w:t>(Gerber and Schaefer 2004)</w:t>
      </w:r>
      <w:r w:rsidRPr="003D6532">
        <w:rPr>
          <w:lang w:val="en-US"/>
        </w:rPr>
        <w:t xml:space="preserve">. </w:t>
      </w:r>
      <w:r>
        <w:rPr>
          <w:lang w:val="en-US"/>
        </w:rPr>
        <w:t>In addition</w:t>
      </w:r>
      <w:r w:rsidRPr="003D6532">
        <w:rPr>
          <w:lang w:val="en-US"/>
        </w:rPr>
        <w:t xml:space="preserve">, students accomplishing vocational schools are less likely to transfer to prestigious higher education institutions </w:t>
      </w:r>
      <w:r>
        <w:rPr>
          <w:lang w:val="en-US"/>
        </w:rPr>
        <w:t xml:space="preserve">than </w:t>
      </w:r>
      <w:r w:rsidRPr="003D6532">
        <w:rPr>
          <w:lang w:val="en-US"/>
        </w:rPr>
        <w:t xml:space="preserve">academic track takers </w:t>
      </w:r>
      <w:r w:rsidRPr="003D6532">
        <w:rPr>
          <w:rFonts w:cs="Times New Roman"/>
          <w:lang w:val="en-US"/>
        </w:rPr>
        <w:t>(</w:t>
      </w:r>
      <w:proofErr w:type="spellStart"/>
      <w:r w:rsidRPr="003D6532">
        <w:rPr>
          <w:rFonts w:cs="Times New Roman"/>
          <w:lang w:val="en-US"/>
        </w:rPr>
        <w:t>Kosyakova</w:t>
      </w:r>
      <w:proofErr w:type="spellEnd"/>
      <w:r w:rsidRPr="003D6532">
        <w:rPr>
          <w:rFonts w:cs="Times New Roman"/>
          <w:lang w:val="en-US"/>
        </w:rPr>
        <w:t xml:space="preserve"> et al. 2016)</w:t>
      </w:r>
      <w:r w:rsidRPr="003D6532">
        <w:rPr>
          <w:lang w:val="en-US"/>
        </w:rPr>
        <w:t xml:space="preserve">. </w:t>
      </w:r>
      <w:r>
        <w:rPr>
          <w:lang w:val="en-US"/>
        </w:rPr>
        <w:t>Yet</w:t>
      </w:r>
      <w:r w:rsidRPr="003D6532">
        <w:rPr>
          <w:lang w:val="en-US"/>
        </w:rPr>
        <w:t xml:space="preserve">, </w:t>
      </w:r>
      <w:r>
        <w:rPr>
          <w:lang w:val="en-US"/>
        </w:rPr>
        <w:t>al</w:t>
      </w:r>
      <w:r w:rsidRPr="003D6532">
        <w:rPr>
          <w:lang w:val="en-US"/>
        </w:rPr>
        <w:t xml:space="preserve">though the lower quality of higher educational credentials supplied is a </w:t>
      </w:r>
      <w:r w:rsidRPr="003D6532">
        <w:rPr>
          <w:lang w:val="en-US"/>
        </w:rPr>
        <w:lastRenderedPageBreak/>
        <w:t xml:space="preserve">possible downside of pseudo-academic pathways, such credentials maintain a high value in the context of </w:t>
      </w:r>
      <w:r>
        <w:rPr>
          <w:lang w:val="en-US"/>
        </w:rPr>
        <w:t xml:space="preserve">the </w:t>
      </w:r>
      <w:r w:rsidRPr="003D6532">
        <w:rPr>
          <w:lang w:val="en-US"/>
        </w:rPr>
        <w:t xml:space="preserve">massive educational expansion in Russia in recent years </w:t>
      </w:r>
      <w:r w:rsidRPr="003D6532">
        <w:rPr>
          <w:rFonts w:cs="Times New Roman"/>
          <w:lang w:val="en-US"/>
        </w:rPr>
        <w:t>(</w:t>
      </w:r>
      <w:proofErr w:type="spellStart"/>
      <w:r w:rsidRPr="003D6532">
        <w:rPr>
          <w:rFonts w:cs="Times New Roman"/>
          <w:lang w:val="en-US"/>
        </w:rPr>
        <w:t>Kyui</w:t>
      </w:r>
      <w:proofErr w:type="spellEnd"/>
      <w:r w:rsidRPr="003D6532">
        <w:rPr>
          <w:rFonts w:cs="Times New Roman"/>
          <w:lang w:val="en-US"/>
        </w:rPr>
        <w:t xml:space="preserve"> 2016)</w:t>
      </w:r>
      <w:r w:rsidRPr="003D6532">
        <w:rPr>
          <w:lang w:val="en-US"/>
        </w:rPr>
        <w:t xml:space="preserve">. </w:t>
      </w:r>
    </w:p>
    <w:p w14:paraId="266EFCC6" w14:textId="77777777" w:rsidR="00CD1FC2" w:rsidRPr="003D6532" w:rsidRDefault="00CD1FC2" w:rsidP="00DF78B6">
      <w:pPr>
        <w:rPr>
          <w:lang w:val="en-US"/>
        </w:rPr>
      </w:pPr>
    </w:p>
    <w:p w14:paraId="0AE4112C" w14:textId="37209C56" w:rsidR="00CD1FC2" w:rsidRPr="003D6532" w:rsidRDefault="00CD1FC2" w:rsidP="00DF78B6">
      <w:pPr>
        <w:pStyle w:val="Heading1"/>
        <w:rPr>
          <w:lang w:val="en-US"/>
        </w:rPr>
      </w:pPr>
      <w:r w:rsidRPr="003D6532">
        <w:rPr>
          <w:lang w:val="en-US"/>
        </w:rPr>
        <w:t>3. Educational inequality in Russia: theoretical insights</w:t>
      </w:r>
    </w:p>
    <w:p w14:paraId="6A738545" w14:textId="4DF20353" w:rsidR="00CD1FC2" w:rsidRPr="003D6532" w:rsidRDefault="00CD1FC2" w:rsidP="00645EDA">
      <w:pPr>
        <w:rPr>
          <w:lang w:val="en-US"/>
        </w:rPr>
      </w:pPr>
      <w:r w:rsidRPr="003D6532">
        <w:rPr>
          <w:lang w:val="en-US"/>
        </w:rPr>
        <w:t>The idea of persistent inequalities in education is deeply entrenched in the literature, and it has long been established that a certain degree of social inequality is maintained in any educational system</w:t>
      </w:r>
      <w:r w:rsidRPr="003D6532">
        <w:rPr>
          <w:color w:val="FF0000"/>
          <w:lang w:val="en-US"/>
        </w:rPr>
        <w:t xml:space="preserve"> </w:t>
      </w:r>
      <w:r w:rsidRPr="003D6532">
        <w:rPr>
          <w:rFonts w:cs="Times New Roman"/>
          <w:lang w:val="en-US"/>
        </w:rPr>
        <w:t>(e.g.</w:t>
      </w:r>
      <w:r>
        <w:rPr>
          <w:rFonts w:cs="Times New Roman"/>
          <w:lang w:val="en-US"/>
        </w:rPr>
        <w:t>,</w:t>
      </w:r>
      <w:r w:rsidRPr="003D6532">
        <w:rPr>
          <w:rFonts w:cs="Times New Roman"/>
          <w:lang w:val="en-US"/>
        </w:rPr>
        <w:t xml:space="preserve"> </w:t>
      </w:r>
      <w:proofErr w:type="spellStart"/>
      <w:r w:rsidRPr="003D6532">
        <w:rPr>
          <w:rFonts w:cs="Times New Roman"/>
          <w:lang w:val="en-US"/>
        </w:rPr>
        <w:t>Shavit</w:t>
      </w:r>
      <w:proofErr w:type="spellEnd"/>
      <w:r w:rsidRPr="003D6532">
        <w:rPr>
          <w:rFonts w:cs="Times New Roman"/>
          <w:lang w:val="en-US"/>
        </w:rPr>
        <w:t xml:space="preserve"> and </w:t>
      </w:r>
      <w:proofErr w:type="spellStart"/>
      <w:r w:rsidRPr="003D6532">
        <w:rPr>
          <w:rFonts w:cs="Times New Roman"/>
          <w:lang w:val="en-US"/>
        </w:rPr>
        <w:t>Blossfeld</w:t>
      </w:r>
      <w:proofErr w:type="spellEnd"/>
      <w:r w:rsidRPr="003D6532">
        <w:rPr>
          <w:rFonts w:cs="Times New Roman"/>
          <w:lang w:val="en-US"/>
        </w:rPr>
        <w:t xml:space="preserve"> 1993; </w:t>
      </w:r>
      <w:proofErr w:type="spellStart"/>
      <w:r w:rsidRPr="003D6532">
        <w:rPr>
          <w:rFonts w:cs="Times New Roman"/>
          <w:lang w:val="en-US"/>
        </w:rPr>
        <w:t>Blossfeld</w:t>
      </w:r>
      <w:proofErr w:type="spellEnd"/>
      <w:r w:rsidRPr="003D6532">
        <w:rPr>
          <w:rFonts w:cs="Times New Roman"/>
          <w:lang w:val="en-US"/>
        </w:rPr>
        <w:t xml:space="preserve"> et al. 2016)</w:t>
      </w:r>
      <w:r w:rsidRPr="003D6532">
        <w:rPr>
          <w:lang w:val="en-US"/>
        </w:rPr>
        <w:t>. Many theories compete for the most general explanation of this phenomenon, but the ones</w:t>
      </w:r>
      <w:r>
        <w:rPr>
          <w:lang w:val="en-US"/>
        </w:rPr>
        <w:t xml:space="preserve"> that </w:t>
      </w:r>
      <w:r w:rsidRPr="003D6532">
        <w:rPr>
          <w:lang w:val="en-US"/>
        </w:rPr>
        <w:t xml:space="preserve">currently provide the most satisfactory accounts tend to ‘be built up from a model of rational actors operating within an institutional framework’ </w:t>
      </w:r>
      <w:r w:rsidRPr="003D6532">
        <w:rPr>
          <w:rFonts w:cs="Times New Roman"/>
          <w:lang w:val="en-US"/>
        </w:rPr>
        <w:t xml:space="preserve">(Breen and </w:t>
      </w:r>
      <w:proofErr w:type="spellStart"/>
      <w:r w:rsidRPr="003D6532">
        <w:rPr>
          <w:rFonts w:cs="Times New Roman"/>
          <w:lang w:val="en-US"/>
        </w:rPr>
        <w:t>Jonsson</w:t>
      </w:r>
      <w:proofErr w:type="spellEnd"/>
      <w:r w:rsidRPr="003D6532">
        <w:rPr>
          <w:rFonts w:cs="Times New Roman"/>
          <w:lang w:val="en-US"/>
        </w:rPr>
        <w:t xml:space="preserve"> 2005:236)</w:t>
      </w:r>
      <w:r w:rsidRPr="003D6532">
        <w:rPr>
          <w:lang w:val="en-US"/>
        </w:rPr>
        <w:t>. Our considerate description of the institutional features of Russia’s educational system anticipates this appeal, and we also trust this to be a fruitful framework.</w:t>
      </w:r>
    </w:p>
    <w:p w14:paraId="6991F4D2" w14:textId="77777777" w:rsidR="00CD1FC2" w:rsidRPr="003D6532" w:rsidRDefault="00CD1FC2" w:rsidP="00645EDA">
      <w:pPr>
        <w:rPr>
          <w:lang w:val="en-US"/>
        </w:rPr>
      </w:pPr>
    </w:p>
    <w:p w14:paraId="38D177A8" w14:textId="5D3C3389" w:rsidR="00CD1FC2" w:rsidRPr="003D6532" w:rsidRDefault="00CD1FC2" w:rsidP="00EE55C4">
      <w:pPr>
        <w:pStyle w:val="Heading2"/>
        <w:rPr>
          <w:lang w:val="en-US"/>
        </w:rPr>
      </w:pPr>
      <w:r w:rsidRPr="003D6532">
        <w:rPr>
          <w:lang w:val="en-US"/>
        </w:rPr>
        <w:t>3.1 The theory of relative risk aversion</w:t>
      </w:r>
    </w:p>
    <w:p w14:paraId="6CCCA26C" w14:textId="06B3CBC1" w:rsidR="00CD1FC2" w:rsidRPr="003D6532" w:rsidRDefault="00CD1FC2" w:rsidP="00A34231">
      <w:pPr>
        <w:rPr>
          <w:lang w:val="en-US"/>
        </w:rPr>
      </w:pPr>
      <w:r w:rsidRPr="003D6532">
        <w:rPr>
          <w:lang w:val="en-US"/>
        </w:rPr>
        <w:t>One particular theory</w:t>
      </w:r>
      <w:r>
        <w:rPr>
          <w:lang w:val="en-US"/>
        </w:rPr>
        <w:t xml:space="preserve"> that </w:t>
      </w:r>
      <w:r w:rsidRPr="003D6532">
        <w:rPr>
          <w:lang w:val="en-US"/>
        </w:rPr>
        <w:t>has received considerable attention in the study of educational transitions</w:t>
      </w:r>
      <w:r>
        <w:rPr>
          <w:lang w:val="en-US"/>
        </w:rPr>
        <w:t xml:space="preserve"> </w:t>
      </w:r>
      <w:r w:rsidRPr="003D6532">
        <w:rPr>
          <w:lang w:val="en-US"/>
        </w:rPr>
        <w:t xml:space="preserve">is the theory of relative risk aversion (RRA) </w:t>
      </w:r>
      <w:r w:rsidRPr="003D6532">
        <w:rPr>
          <w:rFonts w:cs="Times New Roman"/>
          <w:lang w:val="en-US"/>
        </w:rPr>
        <w:t xml:space="preserve">(Breen and </w:t>
      </w:r>
      <w:proofErr w:type="spellStart"/>
      <w:r w:rsidRPr="003D6532">
        <w:rPr>
          <w:rFonts w:cs="Times New Roman"/>
          <w:lang w:val="en-US"/>
        </w:rPr>
        <w:t>Goldthorpe</w:t>
      </w:r>
      <w:proofErr w:type="spellEnd"/>
      <w:r w:rsidRPr="003D6532">
        <w:rPr>
          <w:rFonts w:cs="Times New Roman"/>
          <w:lang w:val="en-US"/>
        </w:rPr>
        <w:t xml:space="preserve"> 1997)</w:t>
      </w:r>
      <w:r w:rsidRPr="003D6532">
        <w:rPr>
          <w:lang w:val="en-US"/>
        </w:rPr>
        <w:t xml:space="preserve">. </w:t>
      </w:r>
      <w:r>
        <w:rPr>
          <w:lang w:val="en-US"/>
        </w:rPr>
        <w:t xml:space="preserve">This </w:t>
      </w:r>
      <w:r w:rsidRPr="003D6532">
        <w:rPr>
          <w:lang w:val="en-US"/>
        </w:rPr>
        <w:t xml:space="preserve">theory conceptualizes educational decisions </w:t>
      </w:r>
      <w:r>
        <w:rPr>
          <w:lang w:val="en-US"/>
        </w:rPr>
        <w:t xml:space="preserve">to </w:t>
      </w:r>
      <w:r w:rsidRPr="003D6532">
        <w:rPr>
          <w:lang w:val="en-US"/>
        </w:rPr>
        <w:t xml:space="preserve">result </w:t>
      </w:r>
      <w:r>
        <w:rPr>
          <w:lang w:val="en-US"/>
        </w:rPr>
        <w:t xml:space="preserve">from a </w:t>
      </w:r>
      <w:r w:rsidRPr="003D6532">
        <w:rPr>
          <w:lang w:val="en-US"/>
        </w:rPr>
        <w:t>rational calculation of risks and benefits associated with alternative educational strategies. It further recognizes that the same strategies can be differently evaluated by descendants of different socioeconomic groups. The benchmark</w:t>
      </w:r>
      <w:r>
        <w:rPr>
          <w:lang w:val="en-US"/>
        </w:rPr>
        <w:t xml:space="preserve"> </w:t>
      </w:r>
      <w:r w:rsidRPr="003D6532">
        <w:rPr>
          <w:lang w:val="en-US"/>
        </w:rPr>
        <w:t>against which the costs and benefits are calculated</w:t>
      </w:r>
      <w:r>
        <w:rPr>
          <w:lang w:val="en-US"/>
        </w:rPr>
        <w:t xml:space="preserve"> </w:t>
      </w:r>
      <w:r w:rsidRPr="003D6532">
        <w:rPr>
          <w:lang w:val="en-US"/>
        </w:rPr>
        <w:t>is set by strategies enabling status maintenance: avoiding downward mobility is certainly an imperative for families, whereas upward mobility entails additional risks. For instance, upper class children might choose higher education</w:t>
      </w:r>
      <w:r>
        <w:rPr>
          <w:lang w:val="en-US"/>
        </w:rPr>
        <w:t xml:space="preserve"> </w:t>
      </w:r>
      <w:r w:rsidRPr="003D6532">
        <w:rPr>
          <w:lang w:val="en-US"/>
        </w:rPr>
        <w:t>because it prevents their downward mobility, but for them</w:t>
      </w:r>
      <w:r>
        <w:rPr>
          <w:lang w:val="en-US"/>
        </w:rPr>
        <w:t>,</w:t>
      </w:r>
      <w:r w:rsidRPr="003D6532">
        <w:rPr>
          <w:lang w:val="en-US"/>
        </w:rPr>
        <w:t xml:space="preserve"> it is also associated with little relative risk. In turn, the relative risk of the same strategy for the children of lower class parents is much higher (</w:t>
      </w:r>
      <w:r>
        <w:rPr>
          <w:lang w:val="en-US"/>
        </w:rPr>
        <w:t xml:space="preserve">because of </w:t>
      </w:r>
      <w:r w:rsidRPr="003D6532">
        <w:rPr>
          <w:lang w:val="en-US"/>
        </w:rPr>
        <w:t xml:space="preserve">economic </w:t>
      </w:r>
      <w:r w:rsidRPr="003D6532">
        <w:rPr>
          <w:lang w:val="en-US"/>
        </w:rPr>
        <w:lastRenderedPageBreak/>
        <w:t xml:space="preserve">constraints, </w:t>
      </w:r>
      <w:r>
        <w:rPr>
          <w:lang w:val="en-US"/>
        </w:rPr>
        <w:t xml:space="preserve">the </w:t>
      </w:r>
      <w:r w:rsidRPr="003D6532">
        <w:rPr>
          <w:lang w:val="en-US"/>
        </w:rPr>
        <w:t>lack of necessary academic culture, etc.) and is likely to outweigh its potential benefits. In other words, the theory predicts that most people prefer to stay on the safe side.</w:t>
      </w:r>
    </w:p>
    <w:p w14:paraId="017FFAD4" w14:textId="0728D7F5" w:rsidR="00CD1FC2" w:rsidRPr="003D6532" w:rsidRDefault="00CD1FC2" w:rsidP="00883C94">
      <w:pPr>
        <w:rPr>
          <w:lang w:val="en-US"/>
        </w:rPr>
      </w:pPr>
      <w:r w:rsidRPr="003D6532">
        <w:rPr>
          <w:lang w:val="en-US"/>
        </w:rPr>
        <w:t xml:space="preserve">RRA is also general enough to recognize factors </w:t>
      </w:r>
      <w:r>
        <w:rPr>
          <w:lang w:val="en-US"/>
        </w:rPr>
        <w:t xml:space="preserve">that </w:t>
      </w:r>
      <w:r w:rsidRPr="003D6532">
        <w:rPr>
          <w:lang w:val="en-US"/>
        </w:rPr>
        <w:t xml:space="preserve">explain possible deviations from the general pattern of status maintenance. For instance, in meritocratic systems, scholastic ability should be an important factor in shaping educational careers, </w:t>
      </w:r>
      <w:r>
        <w:rPr>
          <w:lang w:val="en-US"/>
        </w:rPr>
        <w:t xml:space="preserve">since </w:t>
      </w:r>
      <w:r w:rsidRPr="003D6532">
        <w:rPr>
          <w:lang w:val="en-US"/>
        </w:rPr>
        <w:t>the risk of failure in more challenging educational environments is lower among smarter kids. Thus, even if children share the same social origin, the option of enrolling in higher levels of education should be less restrictive</w:t>
      </w:r>
      <w:r>
        <w:rPr>
          <w:lang w:val="en-US"/>
        </w:rPr>
        <w:t xml:space="preserve"> for </w:t>
      </w:r>
      <w:r w:rsidRPr="003D6532">
        <w:rPr>
          <w:lang w:val="en-US"/>
        </w:rPr>
        <w:t>smarter</w:t>
      </w:r>
      <w:r>
        <w:rPr>
          <w:lang w:val="en-US"/>
        </w:rPr>
        <w:t xml:space="preserve"> children</w:t>
      </w:r>
      <w:r w:rsidRPr="003D6532">
        <w:rPr>
          <w:lang w:val="en-US"/>
        </w:rPr>
        <w:t xml:space="preserve">. Nevertheless, scholastic ability affects </w:t>
      </w:r>
      <w:r>
        <w:rPr>
          <w:lang w:val="en-US"/>
        </w:rPr>
        <w:t xml:space="preserve">the </w:t>
      </w:r>
      <w:r w:rsidRPr="003D6532">
        <w:rPr>
          <w:lang w:val="en-US"/>
        </w:rPr>
        <w:t xml:space="preserve">subjective evaluation of only certain types of risks associated with different educational careers, whereas </w:t>
      </w:r>
      <w:r>
        <w:rPr>
          <w:lang w:val="en-US"/>
        </w:rPr>
        <w:t xml:space="preserve">the </w:t>
      </w:r>
      <w:r w:rsidRPr="003D6532">
        <w:rPr>
          <w:lang w:val="en-US"/>
        </w:rPr>
        <w:t>evaluation of other types of risks might still be subject to social background differences. The nature of these other risks might be quite different</w:t>
      </w:r>
      <w:r>
        <w:rPr>
          <w:lang w:val="en-US"/>
        </w:rPr>
        <w:t>,</w:t>
      </w:r>
      <w:r w:rsidRPr="003D6532">
        <w:rPr>
          <w:lang w:val="en-US"/>
        </w:rPr>
        <w:t xml:space="preserve"> ranging from purely economic reasons to cultural and psychological challenges associated with </w:t>
      </w:r>
      <w:r>
        <w:rPr>
          <w:lang w:val="en-US"/>
        </w:rPr>
        <w:t xml:space="preserve">the </w:t>
      </w:r>
      <w:r w:rsidRPr="003D6532">
        <w:rPr>
          <w:lang w:val="en-US"/>
        </w:rPr>
        <w:t>choice of less habitual pathways.</w:t>
      </w:r>
    </w:p>
    <w:p w14:paraId="4540FD22" w14:textId="2CECD381" w:rsidR="00CD1FC2" w:rsidRPr="003D6532" w:rsidRDefault="00CD1FC2" w:rsidP="005E6334">
      <w:pPr>
        <w:rPr>
          <w:lang w:val="en-US"/>
        </w:rPr>
      </w:pPr>
      <w:r w:rsidRPr="003D6532">
        <w:rPr>
          <w:lang w:val="en-US"/>
        </w:rPr>
        <w:t xml:space="preserve">It is the common </w:t>
      </w:r>
      <w:r w:rsidRPr="003D6532">
        <w:rPr>
          <w:i/>
          <w:lang w:val="en-US"/>
        </w:rPr>
        <w:t>ceteris paribus</w:t>
      </w:r>
      <w:r w:rsidRPr="003D6532">
        <w:rPr>
          <w:lang w:val="en-US"/>
        </w:rPr>
        <w:t xml:space="preserve"> prediction of RRA that social background differences should be present in all kinds of educational transitions, but how can this be reconciled in the context of pseudo-academic pathways to higher education? By virtue of </w:t>
      </w:r>
      <w:r>
        <w:rPr>
          <w:lang w:val="en-US"/>
        </w:rPr>
        <w:t xml:space="preserve">the </w:t>
      </w:r>
      <w:r w:rsidRPr="003D6532">
        <w:rPr>
          <w:lang w:val="en-US"/>
        </w:rPr>
        <w:t>institutional setup in Russia</w:t>
      </w:r>
      <w:r>
        <w:rPr>
          <w:lang w:val="en-US"/>
        </w:rPr>
        <w:t>,</w:t>
      </w:r>
      <w:r w:rsidRPr="003D6532">
        <w:rPr>
          <w:lang w:val="en-US"/>
        </w:rPr>
        <w:t xml:space="preserve"> this alternative pathway provides a less risky route, because 1) it is less restrictive with respect to children</w:t>
      </w:r>
      <w:r>
        <w:rPr>
          <w:lang w:val="en-US"/>
        </w:rPr>
        <w:t>’s</w:t>
      </w:r>
      <w:r w:rsidRPr="000B09AD">
        <w:rPr>
          <w:lang w:val="en-US"/>
        </w:rPr>
        <w:t xml:space="preserve"> </w:t>
      </w:r>
      <w:r w:rsidRPr="003D6532">
        <w:rPr>
          <w:lang w:val="en-US"/>
        </w:rPr>
        <w:t xml:space="preserve">scholastic abilities, 2) it allows </w:t>
      </w:r>
      <w:r>
        <w:rPr>
          <w:lang w:val="en-US"/>
        </w:rPr>
        <w:t xml:space="preserve">students to </w:t>
      </w:r>
      <w:r w:rsidRPr="003D6532">
        <w:rPr>
          <w:lang w:val="en-US"/>
        </w:rPr>
        <w:t xml:space="preserve">bypass the more challenging admissions rules of </w:t>
      </w:r>
      <w:r>
        <w:rPr>
          <w:lang w:val="en-US"/>
        </w:rPr>
        <w:t xml:space="preserve">the </w:t>
      </w:r>
      <w:r w:rsidRPr="003D6532">
        <w:rPr>
          <w:lang w:val="en-US"/>
        </w:rPr>
        <w:t xml:space="preserve">traditional academic pathway, and 3) it secures at least some level of professional qualifications before entry into higher education (similar arguments were laid out by </w:t>
      </w:r>
      <w:proofErr w:type="spellStart"/>
      <w:r w:rsidRPr="003D6532">
        <w:rPr>
          <w:lang w:val="en-US"/>
        </w:rPr>
        <w:t>Alexandrov</w:t>
      </w:r>
      <w:proofErr w:type="spellEnd"/>
      <w:r w:rsidRPr="003D6532">
        <w:rPr>
          <w:lang w:val="en-US"/>
        </w:rPr>
        <w:t xml:space="preserve"> et al. 2015). From the RRA point of view</w:t>
      </w:r>
      <w:r>
        <w:rPr>
          <w:lang w:val="en-US"/>
        </w:rPr>
        <w:t>,</w:t>
      </w:r>
      <w:r w:rsidRPr="003D6532">
        <w:rPr>
          <w:lang w:val="en-US"/>
        </w:rPr>
        <w:t xml:space="preserve"> these attractive features should be of little relevance to the decisions of upper class families, </w:t>
      </w:r>
      <w:r>
        <w:rPr>
          <w:lang w:val="en-US"/>
        </w:rPr>
        <w:t xml:space="preserve">since </w:t>
      </w:r>
      <w:r w:rsidRPr="003D6532">
        <w:rPr>
          <w:lang w:val="en-US"/>
        </w:rPr>
        <w:t xml:space="preserve">upper class families would still be more equipped to afford academic pathways </w:t>
      </w:r>
      <w:r>
        <w:rPr>
          <w:lang w:val="en-US"/>
        </w:rPr>
        <w:t xml:space="preserve">than </w:t>
      </w:r>
      <w:r w:rsidRPr="003D6532">
        <w:rPr>
          <w:lang w:val="en-US"/>
        </w:rPr>
        <w:t xml:space="preserve">lower class families. In contrast, pseudo-academic pathways should be relatively more attractive for the children from lower class families, </w:t>
      </w:r>
      <w:r>
        <w:rPr>
          <w:lang w:val="en-US"/>
        </w:rPr>
        <w:t xml:space="preserve">as </w:t>
      </w:r>
      <w:r w:rsidRPr="003D6532">
        <w:rPr>
          <w:lang w:val="en-US"/>
        </w:rPr>
        <w:t xml:space="preserve">they provide a chance for upward mobility at a </w:t>
      </w:r>
      <w:r w:rsidRPr="003D6532">
        <w:rPr>
          <w:lang w:val="en-US"/>
        </w:rPr>
        <w:lastRenderedPageBreak/>
        <w:t>relatively lower risk. In other words, pseudo-academic pathways should be more accessible to the descendants of lower social origin, thereby allowing fewer social inequalities relative to the patterns observed in the choice of purely academic and purely vocational pathways. Hence, we would expect that:</w:t>
      </w:r>
    </w:p>
    <w:p w14:paraId="693BDEBF" w14:textId="71E06D97" w:rsidR="00CD1FC2" w:rsidRPr="003D6532" w:rsidRDefault="00CD1FC2" w:rsidP="00DD0D86">
      <w:pPr>
        <w:tabs>
          <w:tab w:val="left" w:pos="1597"/>
        </w:tabs>
        <w:rPr>
          <w:i/>
          <w:lang w:val="en-US"/>
        </w:rPr>
      </w:pPr>
      <w:r w:rsidRPr="003D6532">
        <w:rPr>
          <w:i/>
          <w:lang w:val="en-US"/>
        </w:rPr>
        <w:tab/>
      </w:r>
    </w:p>
    <w:p w14:paraId="1B47E917" w14:textId="02F41856" w:rsidR="00CD1FC2" w:rsidRPr="003D6532" w:rsidRDefault="00CD1FC2" w:rsidP="00DD0D86">
      <w:pPr>
        <w:ind w:left="709" w:firstLine="0"/>
        <w:rPr>
          <w:i/>
          <w:lang w:val="en-US"/>
        </w:rPr>
      </w:pPr>
      <w:r w:rsidRPr="003D6532">
        <w:rPr>
          <w:i/>
          <w:lang w:val="en-US"/>
        </w:rPr>
        <w:t>The smallest disparities attributed to social background should be observed in pseudo-academic pathways to higher education (‘Social mobility hypothesis I’).</w:t>
      </w:r>
    </w:p>
    <w:p w14:paraId="30C5E223" w14:textId="77777777" w:rsidR="00CD1FC2" w:rsidRPr="003D6532" w:rsidRDefault="00CD1FC2" w:rsidP="005C26AE">
      <w:pPr>
        <w:rPr>
          <w:lang w:val="en-US"/>
        </w:rPr>
      </w:pPr>
    </w:p>
    <w:p w14:paraId="5044B2BA" w14:textId="3628819B" w:rsidR="00CD1FC2" w:rsidRPr="003D6532" w:rsidRDefault="00CD1FC2" w:rsidP="005C26AE">
      <w:pPr>
        <w:rPr>
          <w:lang w:val="en-US"/>
        </w:rPr>
      </w:pPr>
      <w:r w:rsidRPr="003D6532">
        <w:rPr>
          <w:lang w:val="en-US"/>
        </w:rPr>
        <w:t xml:space="preserve">To put it in more specific terms, the hypothesis above implies that the difference between lower and upper class families in the odds of taking pseudo-academic pathways </w:t>
      </w:r>
      <w:proofErr w:type="spellStart"/>
      <w:r w:rsidRPr="003D6532">
        <w:rPr>
          <w:i/>
          <w:lang w:val="en-US"/>
        </w:rPr>
        <w:t>vs</w:t>
      </w:r>
      <w:proofErr w:type="spellEnd"/>
      <w:r w:rsidRPr="003D6532">
        <w:rPr>
          <w:lang w:val="en-US"/>
        </w:rPr>
        <w:t xml:space="preserve"> either purely academic or purely vocational pathway should be smaller than the corresponding difference in the odds of choosing between purely academic and purely vocational pathways.</w:t>
      </w:r>
    </w:p>
    <w:p w14:paraId="328116D5" w14:textId="2500BCF8" w:rsidR="00CD1FC2" w:rsidRPr="003D6532" w:rsidRDefault="00CD1FC2" w:rsidP="00FF6B7B">
      <w:pPr>
        <w:rPr>
          <w:lang w:val="en-US"/>
        </w:rPr>
      </w:pPr>
      <w:r w:rsidRPr="003D6532">
        <w:rPr>
          <w:lang w:val="en-US"/>
        </w:rPr>
        <w:t xml:space="preserve">We must further emphasize that this hypothesis applies on a </w:t>
      </w:r>
      <w:r w:rsidRPr="003D6532">
        <w:rPr>
          <w:i/>
          <w:lang w:val="en-US"/>
        </w:rPr>
        <w:t>ceteris paribus</w:t>
      </w:r>
      <w:r w:rsidRPr="003D6532">
        <w:rPr>
          <w:lang w:val="en-US"/>
        </w:rPr>
        <w:t xml:space="preserve"> condition, i.e.</w:t>
      </w:r>
      <w:r>
        <w:rPr>
          <w:lang w:val="en-US"/>
        </w:rPr>
        <w:t>,</w:t>
      </w:r>
      <w:r w:rsidRPr="003D6532">
        <w:rPr>
          <w:lang w:val="en-US"/>
        </w:rPr>
        <w:t xml:space="preserve"> it asserts the state of disparities on top of the inequality caused by uneven distribution of scholastic ability across different social backgrounds. Thus, we recognize the conceptual distinction introduced by </w:t>
      </w:r>
      <w:proofErr w:type="spellStart"/>
      <w:r w:rsidRPr="003D6532">
        <w:rPr>
          <w:lang w:val="en-US"/>
        </w:rPr>
        <w:t>Boudon</w:t>
      </w:r>
      <w:proofErr w:type="spellEnd"/>
      <w:r w:rsidRPr="003D6532">
        <w:rPr>
          <w:lang w:val="en-US"/>
        </w:rPr>
        <w:t xml:space="preserve"> </w:t>
      </w:r>
      <w:r w:rsidRPr="003D6532">
        <w:rPr>
          <w:rFonts w:cs="Times New Roman"/>
          <w:lang w:val="en-US"/>
        </w:rPr>
        <w:t>(1974)</w:t>
      </w:r>
      <w:r w:rsidRPr="003D6532">
        <w:rPr>
          <w:lang w:val="en-US"/>
        </w:rPr>
        <w:t xml:space="preserve"> by distinguishing between ‘primary’ and ‘secondary’ effects of social background, as well as the possibility that both could be at work in shaping the overall pattern of inequality in educational transitions. Importantly, this distinction </w:t>
      </w:r>
      <w:r>
        <w:rPr>
          <w:lang w:val="en-US"/>
        </w:rPr>
        <w:t xml:space="preserve">leads to </w:t>
      </w:r>
      <w:r w:rsidRPr="003D6532">
        <w:rPr>
          <w:lang w:val="en-US"/>
        </w:rPr>
        <w:t xml:space="preserve">another important conjecture. We mentioned that secondary vocational schools are less selective with regard to ability than admissions into </w:t>
      </w:r>
      <w:r>
        <w:rPr>
          <w:lang w:val="en-US"/>
        </w:rPr>
        <w:t xml:space="preserve">the </w:t>
      </w:r>
      <w:r w:rsidRPr="003D6532">
        <w:rPr>
          <w:lang w:val="en-US"/>
        </w:rPr>
        <w:t>academic track. As such, in facilitating access to higher education</w:t>
      </w:r>
      <w:r>
        <w:rPr>
          <w:lang w:val="en-US"/>
        </w:rPr>
        <w:t>,</w:t>
      </w:r>
      <w:r w:rsidRPr="003D6532">
        <w:rPr>
          <w:lang w:val="en-US"/>
        </w:rPr>
        <w:t xml:space="preserve"> they should also provide less leverage for inequality induced by social disparities in ability (i.e.</w:t>
      </w:r>
      <w:r>
        <w:rPr>
          <w:lang w:val="en-US"/>
        </w:rPr>
        <w:t>,</w:t>
      </w:r>
      <w:r w:rsidRPr="003D6532">
        <w:rPr>
          <w:lang w:val="en-US"/>
        </w:rPr>
        <w:t xml:space="preserve"> primary effects of social background). Hence, we could also postulate that:</w:t>
      </w:r>
    </w:p>
    <w:p w14:paraId="1D55B31C" w14:textId="77777777" w:rsidR="00CD1FC2" w:rsidRPr="003D6532" w:rsidRDefault="00CD1FC2" w:rsidP="005C26AE">
      <w:pPr>
        <w:rPr>
          <w:lang w:val="en-US"/>
        </w:rPr>
      </w:pPr>
    </w:p>
    <w:p w14:paraId="50F03D59" w14:textId="5D0E131E" w:rsidR="00CD1FC2" w:rsidRPr="003D6532" w:rsidRDefault="00CD1FC2" w:rsidP="00DD0D86">
      <w:pPr>
        <w:ind w:left="709" w:firstLine="0"/>
        <w:rPr>
          <w:i/>
          <w:lang w:val="en-US"/>
        </w:rPr>
      </w:pPr>
      <w:r w:rsidRPr="003D6532">
        <w:rPr>
          <w:i/>
          <w:lang w:val="en-US"/>
        </w:rPr>
        <w:lastRenderedPageBreak/>
        <w:t>Pseudo-academic pathways to higher education should be less selective with regard to ability (‘Social mobility hypothesis II’).</w:t>
      </w:r>
    </w:p>
    <w:p w14:paraId="2B6E7040" w14:textId="77777777" w:rsidR="00CD1FC2" w:rsidRPr="003D6532" w:rsidRDefault="00CD1FC2" w:rsidP="00FF6B7B">
      <w:pPr>
        <w:rPr>
          <w:lang w:val="en-US"/>
        </w:rPr>
      </w:pPr>
    </w:p>
    <w:p w14:paraId="46D516D3" w14:textId="6B6394FF" w:rsidR="00CD1FC2" w:rsidRPr="003D6532" w:rsidRDefault="00CD1FC2" w:rsidP="00C60A1E">
      <w:pPr>
        <w:rPr>
          <w:lang w:val="en-US"/>
        </w:rPr>
      </w:pPr>
      <w:r w:rsidRPr="003D6532">
        <w:rPr>
          <w:lang w:val="en-US"/>
        </w:rPr>
        <w:t>We deem labeling our first and second hypotheses as ‘social mobility hypotheses’</w:t>
      </w:r>
      <w:r w:rsidRPr="000B09AD">
        <w:rPr>
          <w:lang w:val="en-US"/>
        </w:rPr>
        <w:t xml:space="preserve"> </w:t>
      </w:r>
      <w:r w:rsidRPr="003D6532">
        <w:rPr>
          <w:lang w:val="en-US"/>
        </w:rPr>
        <w:t>appropriate</w:t>
      </w:r>
      <w:r>
        <w:rPr>
          <w:lang w:val="en-US"/>
        </w:rPr>
        <w:t xml:space="preserve"> </w:t>
      </w:r>
      <w:r w:rsidRPr="003D6532">
        <w:rPr>
          <w:lang w:val="en-US"/>
        </w:rPr>
        <w:t>because, if proven to be the case, pseudo-academic pathway</w:t>
      </w:r>
      <w:r>
        <w:rPr>
          <w:lang w:val="en-US"/>
        </w:rPr>
        <w:t>s</w:t>
      </w:r>
      <w:r w:rsidRPr="003D6532">
        <w:rPr>
          <w:lang w:val="en-US"/>
        </w:rPr>
        <w:t xml:space="preserve"> could indeed be treated as a mechanism </w:t>
      </w:r>
      <w:r>
        <w:rPr>
          <w:lang w:val="en-US"/>
        </w:rPr>
        <w:t xml:space="preserve">that </w:t>
      </w:r>
      <w:r w:rsidRPr="003D6532">
        <w:rPr>
          <w:lang w:val="en-US"/>
        </w:rPr>
        <w:t>attenuat</w:t>
      </w:r>
      <w:r>
        <w:rPr>
          <w:lang w:val="en-US"/>
        </w:rPr>
        <w:t>es</w:t>
      </w:r>
      <w:r w:rsidRPr="003D6532">
        <w:rPr>
          <w:lang w:val="en-US"/>
        </w:rPr>
        <w:t xml:space="preserve"> inequality in access to higher education.</w:t>
      </w:r>
    </w:p>
    <w:p w14:paraId="05EBB7B4" w14:textId="77777777" w:rsidR="00CD1FC2" w:rsidRPr="003D6532" w:rsidRDefault="00CD1FC2" w:rsidP="00DB2E74">
      <w:pPr>
        <w:rPr>
          <w:lang w:val="en-US"/>
        </w:rPr>
      </w:pPr>
    </w:p>
    <w:p w14:paraId="3EF31B34" w14:textId="3D472BB7" w:rsidR="00CD1FC2" w:rsidRPr="003D6532" w:rsidRDefault="00CD1FC2" w:rsidP="00B37B4A">
      <w:pPr>
        <w:pStyle w:val="Heading2"/>
        <w:rPr>
          <w:lang w:val="en-US"/>
        </w:rPr>
      </w:pPr>
      <w:r w:rsidRPr="003D6532">
        <w:rPr>
          <w:lang w:val="en-US"/>
        </w:rPr>
        <w:t>3.2 The theory of compensatory advantage</w:t>
      </w:r>
    </w:p>
    <w:p w14:paraId="77D972BE" w14:textId="4C2A1FC3" w:rsidR="00CD1FC2" w:rsidRPr="003D6532" w:rsidRDefault="00CD1FC2" w:rsidP="00DB2E74">
      <w:pPr>
        <w:rPr>
          <w:lang w:val="en-US"/>
        </w:rPr>
      </w:pPr>
      <w:r w:rsidRPr="003D6532">
        <w:rPr>
          <w:lang w:val="en-US"/>
        </w:rPr>
        <w:t xml:space="preserve">Unfortunately, lessons </w:t>
      </w:r>
      <w:r>
        <w:rPr>
          <w:lang w:val="en-US"/>
        </w:rPr>
        <w:t xml:space="preserve">regarding the </w:t>
      </w:r>
      <w:r w:rsidRPr="003D6532">
        <w:rPr>
          <w:lang w:val="en-US"/>
        </w:rPr>
        <w:t xml:space="preserve">persistent nature of social inequality temper our social optimism and force us to cast some shadow on the possible discovery of a new social lift. Such </w:t>
      </w:r>
      <w:r>
        <w:rPr>
          <w:lang w:val="en-US"/>
        </w:rPr>
        <w:t xml:space="preserve">a </w:t>
      </w:r>
      <w:r w:rsidRPr="003D6532">
        <w:rPr>
          <w:lang w:val="en-US"/>
        </w:rPr>
        <w:t>tempered</w:t>
      </w:r>
      <w:r>
        <w:rPr>
          <w:lang w:val="en-US"/>
        </w:rPr>
        <w:t xml:space="preserve"> </w:t>
      </w:r>
      <w:r w:rsidRPr="003D6532">
        <w:rPr>
          <w:lang w:val="en-US"/>
        </w:rPr>
        <w:t xml:space="preserve">yet theoretically consistent perspective is offered by the theory of </w:t>
      </w:r>
      <w:r>
        <w:rPr>
          <w:lang w:val="en-US"/>
        </w:rPr>
        <w:t xml:space="preserve">the </w:t>
      </w:r>
      <w:r w:rsidRPr="003D6532">
        <w:rPr>
          <w:lang w:val="en-US"/>
        </w:rPr>
        <w:t xml:space="preserve">compensatory advantage of social background (CA) </w:t>
      </w:r>
      <w:r w:rsidRPr="003D6532">
        <w:rPr>
          <w:rFonts w:cs="Times New Roman"/>
          <w:lang w:val="en-US"/>
        </w:rPr>
        <w:t>(</w:t>
      </w:r>
      <w:proofErr w:type="spellStart"/>
      <w:r w:rsidRPr="003D6532">
        <w:rPr>
          <w:rFonts w:cs="Times New Roman"/>
          <w:lang w:val="en-US"/>
        </w:rPr>
        <w:t>Bernardi</w:t>
      </w:r>
      <w:proofErr w:type="spellEnd"/>
      <w:r w:rsidRPr="003D6532">
        <w:rPr>
          <w:rFonts w:cs="Times New Roman"/>
          <w:lang w:val="en-US"/>
        </w:rPr>
        <w:t xml:space="preserve"> 2012, 2014)</w:t>
      </w:r>
      <w:r w:rsidRPr="003D6532">
        <w:rPr>
          <w:lang w:val="en-US"/>
        </w:rPr>
        <w:t>. The CA theory does not contradict</w:t>
      </w:r>
      <w:r>
        <w:rPr>
          <w:lang w:val="en-US"/>
        </w:rPr>
        <w:t xml:space="preserve"> </w:t>
      </w:r>
      <w:r w:rsidRPr="003D6532">
        <w:rPr>
          <w:lang w:val="en-US"/>
        </w:rPr>
        <w:t xml:space="preserve">but rather complements RRA, </w:t>
      </w:r>
      <w:r>
        <w:rPr>
          <w:lang w:val="en-US"/>
        </w:rPr>
        <w:t xml:space="preserve">as </w:t>
      </w:r>
      <w:r w:rsidRPr="003D6532">
        <w:rPr>
          <w:lang w:val="en-US"/>
        </w:rPr>
        <w:t xml:space="preserve">it is based on the same premises of rational choice theory. CA capitalizes on a simple and intuitive insight that </w:t>
      </w:r>
      <w:r>
        <w:rPr>
          <w:lang w:val="en-US"/>
        </w:rPr>
        <w:t xml:space="preserve">the </w:t>
      </w:r>
      <w:r w:rsidRPr="003D6532">
        <w:rPr>
          <w:lang w:val="en-US"/>
        </w:rPr>
        <w:t xml:space="preserve">life course trajectories of children from upper class families are usually less dependent on prior negative outcomes. Upper class families are more equipped with resources and information that can be utilized to correct for a false step or exposure to unfavorable circumstances that may harm their children’s futures. </w:t>
      </w:r>
      <w:r>
        <w:rPr>
          <w:lang w:val="en-US"/>
        </w:rPr>
        <w:t xml:space="preserve">By </w:t>
      </w:r>
      <w:r w:rsidRPr="003D6532">
        <w:rPr>
          <w:lang w:val="en-US"/>
        </w:rPr>
        <w:t>the same logic, upper class</w:t>
      </w:r>
      <w:r w:rsidRPr="003D6532">
        <w:rPr>
          <w:rFonts w:cs="Times New Roman"/>
          <w:lang w:val="en-US"/>
        </w:rPr>
        <w:t xml:space="preserve"> families may possess more far-sighted rationality</w:t>
      </w:r>
      <w:r>
        <w:rPr>
          <w:rFonts w:cs="Times New Roman"/>
          <w:lang w:val="en-US"/>
        </w:rPr>
        <w:t>;</w:t>
      </w:r>
      <w:r w:rsidRPr="003D6532">
        <w:rPr>
          <w:rFonts w:cs="Times New Roman"/>
          <w:lang w:val="en-US"/>
        </w:rPr>
        <w:t xml:space="preserve"> thus</w:t>
      </w:r>
      <w:r>
        <w:rPr>
          <w:rFonts w:cs="Times New Roman"/>
          <w:lang w:val="en-US"/>
        </w:rPr>
        <w:t>, they may</w:t>
      </w:r>
      <w:r w:rsidRPr="003D6532">
        <w:rPr>
          <w:rFonts w:cs="Times New Roman"/>
          <w:lang w:val="en-US"/>
        </w:rPr>
        <w:t xml:space="preserve"> strategically evaluate the risks of possible failure and take preventive measures to minimize them. In sum,</w:t>
      </w:r>
      <w:r w:rsidRPr="003D6532">
        <w:rPr>
          <w:lang w:val="en-US"/>
        </w:rPr>
        <w:t xml:space="preserve"> CA predicts that whenever a group is exposed to disadvantage, inequality in that group is likely to increase, </w:t>
      </w:r>
      <w:r>
        <w:rPr>
          <w:lang w:val="en-US"/>
        </w:rPr>
        <w:t>since</w:t>
      </w:r>
      <w:r w:rsidRPr="003D6532">
        <w:rPr>
          <w:lang w:val="en-US"/>
        </w:rPr>
        <w:t xml:space="preserve"> individuals from more advantaged backgrounds tend to be more equipped to cope with difficulties.</w:t>
      </w:r>
    </w:p>
    <w:p w14:paraId="6C13D7E9" w14:textId="4E80FA56" w:rsidR="00CD1FC2" w:rsidRPr="003D6532" w:rsidRDefault="00CD1FC2" w:rsidP="0052504A">
      <w:pPr>
        <w:rPr>
          <w:lang w:val="en-US"/>
        </w:rPr>
      </w:pPr>
      <w:r w:rsidRPr="003D6532">
        <w:rPr>
          <w:lang w:val="en-US"/>
        </w:rPr>
        <w:t xml:space="preserve">The lack of scholastic ability and motivation in children, which for whatever reason might occur even among upper class children, could represent a particular case of disadvantage, in which social background might enter as such compensating force. Higher </w:t>
      </w:r>
      <w:r w:rsidRPr="003D6532">
        <w:rPr>
          <w:lang w:val="en-US"/>
        </w:rPr>
        <w:lastRenderedPageBreak/>
        <w:t xml:space="preserve">selectivity of academic pathways to higher education would increase the risk of failure for </w:t>
      </w:r>
      <w:r>
        <w:rPr>
          <w:lang w:val="en-US"/>
        </w:rPr>
        <w:t xml:space="preserve">lower </w:t>
      </w:r>
      <w:r w:rsidRPr="003D6532">
        <w:rPr>
          <w:lang w:val="en-US"/>
        </w:rPr>
        <w:t xml:space="preserve">performing children from upper class families, especially in the context of the USE filter, </w:t>
      </w:r>
      <w:r>
        <w:rPr>
          <w:lang w:val="en-US"/>
        </w:rPr>
        <w:t xml:space="preserve">and would </w:t>
      </w:r>
      <w:r w:rsidRPr="003D6532">
        <w:rPr>
          <w:lang w:val="en-US"/>
        </w:rPr>
        <w:t xml:space="preserve">thus threaten </w:t>
      </w:r>
      <w:r>
        <w:rPr>
          <w:lang w:val="en-US"/>
        </w:rPr>
        <w:t xml:space="preserve">their </w:t>
      </w:r>
      <w:r w:rsidRPr="003D6532">
        <w:rPr>
          <w:lang w:val="en-US"/>
        </w:rPr>
        <w:t xml:space="preserve">status maintenance. </w:t>
      </w:r>
      <w:r>
        <w:rPr>
          <w:lang w:val="en-US"/>
        </w:rPr>
        <w:t>U</w:t>
      </w:r>
      <w:r w:rsidRPr="003D6532">
        <w:rPr>
          <w:lang w:val="en-US"/>
        </w:rPr>
        <w:t xml:space="preserve">pper class families </w:t>
      </w:r>
      <w:r>
        <w:rPr>
          <w:lang w:val="en-US"/>
        </w:rPr>
        <w:t xml:space="preserve">would </w:t>
      </w:r>
      <w:r w:rsidRPr="003D6532">
        <w:rPr>
          <w:lang w:val="en-US"/>
        </w:rPr>
        <w:t xml:space="preserve">then </w:t>
      </w:r>
      <w:r>
        <w:rPr>
          <w:lang w:val="en-US"/>
        </w:rPr>
        <w:t xml:space="preserve">be </w:t>
      </w:r>
      <w:r w:rsidRPr="003D6532">
        <w:rPr>
          <w:lang w:val="en-US"/>
        </w:rPr>
        <w:t>incentivize</w:t>
      </w:r>
      <w:r>
        <w:rPr>
          <w:lang w:val="en-US"/>
        </w:rPr>
        <w:t>d</w:t>
      </w:r>
      <w:r w:rsidRPr="003D6532">
        <w:rPr>
          <w:lang w:val="en-US"/>
        </w:rPr>
        <w:t xml:space="preserve"> to </w:t>
      </w:r>
      <w:r>
        <w:rPr>
          <w:lang w:val="en-US"/>
        </w:rPr>
        <w:t xml:space="preserve">devise </w:t>
      </w:r>
      <w:r w:rsidRPr="003D6532">
        <w:rPr>
          <w:lang w:val="en-US"/>
        </w:rPr>
        <w:t>strategies that could</w:t>
      </w:r>
      <w:r>
        <w:rPr>
          <w:lang w:val="en-US"/>
        </w:rPr>
        <w:t xml:space="preserve"> </w:t>
      </w:r>
      <w:r w:rsidRPr="003D6532">
        <w:rPr>
          <w:lang w:val="en-US"/>
        </w:rPr>
        <w:t>nevertheless</w:t>
      </w:r>
      <w:r>
        <w:rPr>
          <w:lang w:val="en-US"/>
        </w:rPr>
        <w:t xml:space="preserve"> </w:t>
      </w:r>
      <w:r w:rsidRPr="003D6532">
        <w:rPr>
          <w:lang w:val="en-US"/>
        </w:rPr>
        <w:t>secure access to higher education</w:t>
      </w:r>
      <w:r>
        <w:rPr>
          <w:lang w:val="en-US"/>
        </w:rPr>
        <w:t xml:space="preserve"> – </w:t>
      </w:r>
      <w:r w:rsidRPr="003D6532">
        <w:rPr>
          <w:lang w:val="en-US"/>
        </w:rPr>
        <w:t xml:space="preserve">or at least reduce the risks of failing. </w:t>
      </w:r>
      <w:r>
        <w:rPr>
          <w:lang w:val="en-US"/>
        </w:rPr>
        <w:t xml:space="preserve">In this </w:t>
      </w:r>
      <w:r w:rsidRPr="003D6532">
        <w:rPr>
          <w:lang w:val="en-US"/>
        </w:rPr>
        <w:t>case, we should</w:t>
      </w:r>
      <w:r>
        <w:rPr>
          <w:lang w:val="en-US"/>
        </w:rPr>
        <w:t xml:space="preserve"> </w:t>
      </w:r>
      <w:r w:rsidRPr="003D6532">
        <w:rPr>
          <w:lang w:val="en-US"/>
        </w:rPr>
        <w:t>first</w:t>
      </w:r>
      <w:r>
        <w:rPr>
          <w:lang w:val="en-US"/>
        </w:rPr>
        <w:t xml:space="preserve"> </w:t>
      </w:r>
      <w:r w:rsidRPr="003D6532">
        <w:rPr>
          <w:lang w:val="en-US"/>
        </w:rPr>
        <w:t>expect social inequality in the chances of attaining higher education to increase at lower levels of scholastic ability. In other words, we expect that:</w:t>
      </w:r>
    </w:p>
    <w:p w14:paraId="504EED45" w14:textId="77777777" w:rsidR="00CD1FC2" w:rsidRPr="003D6532" w:rsidRDefault="00CD1FC2" w:rsidP="0052504A">
      <w:pPr>
        <w:rPr>
          <w:lang w:val="en-US"/>
        </w:rPr>
      </w:pPr>
    </w:p>
    <w:p w14:paraId="0AE38CFD" w14:textId="4B391609" w:rsidR="00CD1FC2" w:rsidRPr="003D6532" w:rsidRDefault="00CD1FC2" w:rsidP="000E3B8A">
      <w:pPr>
        <w:ind w:left="567" w:firstLine="0"/>
        <w:jc w:val="left"/>
        <w:rPr>
          <w:i/>
          <w:lang w:val="en-US"/>
        </w:rPr>
      </w:pPr>
      <w:r w:rsidRPr="003D6532">
        <w:rPr>
          <w:i/>
          <w:lang w:val="en-US"/>
        </w:rPr>
        <w:t>Social disparities in access to higher education should be negatively associated with levels of ability (‘Social reproduction hypothesis I’).</w:t>
      </w:r>
    </w:p>
    <w:p w14:paraId="56A4885F" w14:textId="77777777" w:rsidR="00CD1FC2" w:rsidRPr="003D6532" w:rsidRDefault="00CD1FC2" w:rsidP="0052504A">
      <w:pPr>
        <w:rPr>
          <w:lang w:val="en-US"/>
        </w:rPr>
      </w:pPr>
    </w:p>
    <w:p w14:paraId="011082C7" w14:textId="57CBCA09" w:rsidR="00CD1FC2" w:rsidRPr="003D6532" w:rsidRDefault="00CD1FC2" w:rsidP="007C77EE">
      <w:pPr>
        <w:rPr>
          <w:lang w:val="en-US"/>
        </w:rPr>
      </w:pPr>
      <w:r w:rsidRPr="003D6532">
        <w:rPr>
          <w:lang w:val="en-US"/>
        </w:rPr>
        <w:t xml:space="preserve">Although strategies </w:t>
      </w:r>
      <w:r>
        <w:rPr>
          <w:lang w:val="en-US"/>
        </w:rPr>
        <w:t xml:space="preserve">aimed </w:t>
      </w:r>
      <w:r w:rsidRPr="003D6532">
        <w:rPr>
          <w:lang w:val="en-US"/>
        </w:rPr>
        <w:t xml:space="preserve">at minimizing </w:t>
      </w:r>
      <w:r>
        <w:rPr>
          <w:lang w:val="en-US"/>
        </w:rPr>
        <w:t xml:space="preserve">the </w:t>
      </w:r>
      <w:r w:rsidRPr="003D6532">
        <w:rPr>
          <w:lang w:val="en-US"/>
        </w:rPr>
        <w:t>risks of failure due to low scholastic ability might be deployed as part of academic track training (e.g.</w:t>
      </w:r>
      <w:r>
        <w:rPr>
          <w:lang w:val="en-US"/>
        </w:rPr>
        <w:t>,</w:t>
      </w:r>
      <w:r w:rsidRPr="003D6532">
        <w:rPr>
          <w:lang w:val="en-US"/>
        </w:rPr>
        <w:t xml:space="preserve"> through lessons with private USE tutors or enrolment in more formal preparatory programs), this is still a risky route, </w:t>
      </w:r>
      <w:r>
        <w:rPr>
          <w:lang w:val="en-US"/>
        </w:rPr>
        <w:t>as</w:t>
      </w:r>
      <w:r w:rsidRPr="003D6532">
        <w:rPr>
          <w:lang w:val="en-US"/>
        </w:rPr>
        <w:t xml:space="preserve"> any persistent lack of ability and motivation also potentially undermines the efficiency of such training. The pseudo-academic pathway represents a more rational strategy in this case, because it spares these risks and yet provides access to higher education. Thus, upper class families should be more willing to consider this as a strategy of status maintenance, especially when the risks of failure via </w:t>
      </w:r>
      <w:r>
        <w:rPr>
          <w:lang w:val="en-US"/>
        </w:rPr>
        <w:t xml:space="preserve">the </w:t>
      </w:r>
      <w:r w:rsidRPr="003D6532">
        <w:rPr>
          <w:lang w:val="en-US"/>
        </w:rPr>
        <w:t xml:space="preserve">academic route to higher education become increasingly high. In other words, the pseudo-academic pathway itself becomes a mechanism by which upper class families compensate for </w:t>
      </w:r>
      <w:r>
        <w:rPr>
          <w:lang w:val="en-US"/>
        </w:rPr>
        <w:t xml:space="preserve">their </w:t>
      </w:r>
      <w:r w:rsidRPr="003D6532">
        <w:rPr>
          <w:lang w:val="en-US"/>
        </w:rPr>
        <w:t>children</w:t>
      </w:r>
      <w:r>
        <w:rPr>
          <w:lang w:val="en-US"/>
        </w:rPr>
        <w:t>’s</w:t>
      </w:r>
      <w:r w:rsidRPr="003D6532">
        <w:rPr>
          <w:lang w:val="en-US"/>
        </w:rPr>
        <w:t xml:space="preserve"> lack of academic aptitude. This leads us to postulate that:</w:t>
      </w:r>
    </w:p>
    <w:p w14:paraId="7175ACBC" w14:textId="77777777" w:rsidR="00CD1FC2" w:rsidRPr="003D6532" w:rsidRDefault="00CD1FC2" w:rsidP="007C77EE">
      <w:pPr>
        <w:rPr>
          <w:lang w:val="en-US"/>
        </w:rPr>
      </w:pPr>
    </w:p>
    <w:p w14:paraId="7EF94747" w14:textId="5DCAFF14" w:rsidR="00CD1FC2" w:rsidRPr="003D6532" w:rsidRDefault="00CD1FC2" w:rsidP="000E3B8A">
      <w:pPr>
        <w:ind w:left="567" w:firstLine="0"/>
        <w:jc w:val="left"/>
        <w:rPr>
          <w:i/>
          <w:lang w:val="en-US"/>
        </w:rPr>
      </w:pPr>
      <w:r w:rsidRPr="003D6532">
        <w:rPr>
          <w:i/>
          <w:lang w:val="en-US"/>
        </w:rPr>
        <w:lastRenderedPageBreak/>
        <w:t>Pseudo-academic pathways to higher education should be more negatively selective regarding ability for children from upper class families</w:t>
      </w:r>
      <w:r>
        <w:rPr>
          <w:i/>
          <w:lang w:val="en-US"/>
        </w:rPr>
        <w:t xml:space="preserve"> </w:t>
      </w:r>
      <w:r w:rsidRPr="003D6532">
        <w:rPr>
          <w:i/>
          <w:lang w:val="en-US"/>
        </w:rPr>
        <w:t xml:space="preserve">than for children from lower class families (‘Social reproduction hypothesis II’). </w:t>
      </w:r>
    </w:p>
    <w:p w14:paraId="0C7D9024" w14:textId="77777777" w:rsidR="00CD1FC2" w:rsidRPr="003D6532" w:rsidRDefault="00CD1FC2" w:rsidP="00FD3C4A">
      <w:pPr>
        <w:ind w:firstLine="0"/>
        <w:jc w:val="left"/>
        <w:rPr>
          <w:lang w:val="en-US"/>
        </w:rPr>
      </w:pPr>
    </w:p>
    <w:p w14:paraId="34A59C27" w14:textId="4DEE81E1" w:rsidR="00CD1FC2" w:rsidRPr="003D6532" w:rsidRDefault="00CD1FC2" w:rsidP="00D4709E">
      <w:pPr>
        <w:rPr>
          <w:i/>
          <w:lang w:val="en-US"/>
        </w:rPr>
      </w:pPr>
      <w:r>
        <w:rPr>
          <w:lang w:val="en-US"/>
        </w:rPr>
        <w:t xml:space="preserve">In this </w:t>
      </w:r>
      <w:r w:rsidRPr="003D6532">
        <w:rPr>
          <w:lang w:val="en-US"/>
        </w:rPr>
        <w:t xml:space="preserve">case, we would further expect that the mere existence of pseudo-academic pathways should largely account for the patterns predicted by </w:t>
      </w:r>
      <w:r w:rsidRPr="003D6532">
        <w:rPr>
          <w:i/>
          <w:lang w:val="en-US"/>
        </w:rPr>
        <w:t>social reproduction hypothesis I</w:t>
      </w:r>
      <w:r w:rsidRPr="003D6532">
        <w:rPr>
          <w:lang w:val="en-US"/>
        </w:rPr>
        <w:t>, i.e.</w:t>
      </w:r>
      <w:r>
        <w:rPr>
          <w:lang w:val="en-US"/>
        </w:rPr>
        <w:t>,</w:t>
      </w:r>
      <w:r w:rsidRPr="003D6532">
        <w:rPr>
          <w:lang w:val="en-US"/>
        </w:rPr>
        <w:t xml:space="preserve"> greater social disparities in access to higher education at the lower end of </w:t>
      </w:r>
      <w:r>
        <w:rPr>
          <w:lang w:val="en-US"/>
        </w:rPr>
        <w:t xml:space="preserve">the </w:t>
      </w:r>
      <w:r w:rsidRPr="003D6532">
        <w:rPr>
          <w:lang w:val="en-US"/>
        </w:rPr>
        <w:t xml:space="preserve">ability distribution. Flipping the argument around, we would expect that the compensatory effect of social background should wane in more meritocratic academic pathways, </w:t>
      </w:r>
      <w:r>
        <w:rPr>
          <w:lang w:val="en-US"/>
        </w:rPr>
        <w:t>since</w:t>
      </w:r>
      <w:r w:rsidRPr="003D6532">
        <w:rPr>
          <w:lang w:val="en-US"/>
        </w:rPr>
        <w:t xml:space="preserve"> families have </w:t>
      </w:r>
      <w:r>
        <w:rPr>
          <w:lang w:val="en-US"/>
        </w:rPr>
        <w:t xml:space="preserve">less </w:t>
      </w:r>
      <w:r w:rsidRPr="003D6532">
        <w:rPr>
          <w:lang w:val="en-US"/>
        </w:rPr>
        <w:t>control over selection mechanisms in higher education</w:t>
      </w:r>
      <w:r>
        <w:rPr>
          <w:lang w:val="en-US"/>
        </w:rPr>
        <w:t xml:space="preserve"> in such contexts</w:t>
      </w:r>
      <w:r w:rsidRPr="003D6532">
        <w:rPr>
          <w:lang w:val="en-US"/>
        </w:rPr>
        <w:t>. This brings to our final hypothesis:</w:t>
      </w:r>
    </w:p>
    <w:p w14:paraId="1C020163" w14:textId="77777777" w:rsidR="00CD1FC2" w:rsidRPr="003D6532" w:rsidRDefault="00CD1FC2" w:rsidP="00D4709E">
      <w:pPr>
        <w:rPr>
          <w:i/>
          <w:lang w:val="en-US"/>
        </w:rPr>
      </w:pPr>
    </w:p>
    <w:p w14:paraId="199AE270" w14:textId="51F97326" w:rsidR="00CD1FC2" w:rsidRPr="003D6532" w:rsidRDefault="00CD1FC2" w:rsidP="00643266">
      <w:pPr>
        <w:ind w:left="709" w:firstLine="0"/>
        <w:jc w:val="left"/>
        <w:rPr>
          <w:i/>
          <w:lang w:val="en-US"/>
        </w:rPr>
      </w:pPr>
      <w:r w:rsidRPr="003D6532">
        <w:rPr>
          <w:i/>
          <w:lang w:val="en-US"/>
        </w:rPr>
        <w:t xml:space="preserve">Social disparities in access to higher education via academic pathways should be less dependent on children’s ability </w:t>
      </w:r>
      <w:r>
        <w:rPr>
          <w:i/>
          <w:lang w:val="en-US"/>
        </w:rPr>
        <w:t xml:space="preserve">than </w:t>
      </w:r>
      <w:r w:rsidRPr="003D6532">
        <w:rPr>
          <w:i/>
          <w:lang w:val="en-US"/>
        </w:rPr>
        <w:t>social disparities in access to higher education via all pathways (‘Social reproduction hypothesis III’).</w:t>
      </w:r>
    </w:p>
    <w:p w14:paraId="50CA3FB9" w14:textId="77777777" w:rsidR="00CD1FC2" w:rsidRPr="003D6532" w:rsidRDefault="00CD1FC2" w:rsidP="0091417A">
      <w:pPr>
        <w:rPr>
          <w:lang w:val="en-US"/>
        </w:rPr>
      </w:pPr>
    </w:p>
    <w:p w14:paraId="13AEEFCD" w14:textId="0482DE69" w:rsidR="00CD1FC2" w:rsidRPr="003D6532" w:rsidRDefault="00CD1FC2" w:rsidP="0091417A">
      <w:pPr>
        <w:rPr>
          <w:lang w:val="en-US"/>
        </w:rPr>
      </w:pPr>
      <w:r w:rsidRPr="003D6532">
        <w:rPr>
          <w:lang w:val="en-US"/>
        </w:rPr>
        <w:t xml:space="preserve">The last three hypotheses are labeled as ‘social reproduction hypotheses’, because in contrast to our first set of </w:t>
      </w:r>
      <w:r>
        <w:rPr>
          <w:lang w:val="en-US"/>
        </w:rPr>
        <w:t>hypotheses,</w:t>
      </w:r>
      <w:r w:rsidRPr="003D6532">
        <w:rPr>
          <w:lang w:val="en-US"/>
        </w:rPr>
        <w:t xml:space="preserve"> they posit increasing social inequalities </w:t>
      </w:r>
      <w:r>
        <w:rPr>
          <w:lang w:val="en-US"/>
        </w:rPr>
        <w:t xml:space="preserve">owing </w:t>
      </w:r>
      <w:r w:rsidRPr="003D6532">
        <w:rPr>
          <w:lang w:val="en-US"/>
        </w:rPr>
        <w:t xml:space="preserve">to </w:t>
      </w:r>
      <w:r>
        <w:rPr>
          <w:lang w:val="en-US"/>
        </w:rPr>
        <w:t xml:space="preserve">the </w:t>
      </w:r>
      <w:r w:rsidRPr="003D6532">
        <w:rPr>
          <w:lang w:val="en-US"/>
        </w:rPr>
        <w:t>existence of pseudo-academic pathways.</w:t>
      </w:r>
    </w:p>
    <w:p w14:paraId="12ADFB08" w14:textId="77777777" w:rsidR="00CD1FC2" w:rsidRPr="003D6532" w:rsidRDefault="00CD1FC2" w:rsidP="00DF78B6">
      <w:pPr>
        <w:rPr>
          <w:lang w:val="en-US"/>
        </w:rPr>
      </w:pPr>
    </w:p>
    <w:p w14:paraId="378424F8" w14:textId="73A7F3BB" w:rsidR="00CD1FC2" w:rsidRPr="003D6532" w:rsidRDefault="00CD1FC2" w:rsidP="00DF78B6">
      <w:pPr>
        <w:pStyle w:val="Heading1"/>
        <w:rPr>
          <w:lang w:val="en-US"/>
        </w:rPr>
      </w:pPr>
      <w:r w:rsidRPr="003D6532">
        <w:rPr>
          <w:lang w:val="en-US"/>
        </w:rPr>
        <w:t>4. Data and variables</w:t>
      </w:r>
    </w:p>
    <w:p w14:paraId="638B075F" w14:textId="4DF388A4" w:rsidR="00CD1FC2" w:rsidRPr="003D6532" w:rsidRDefault="00CD1FC2" w:rsidP="00673249">
      <w:pPr>
        <w:rPr>
          <w:lang w:val="en-US"/>
        </w:rPr>
      </w:pPr>
      <w:r w:rsidRPr="003D6532">
        <w:rPr>
          <w:lang w:val="en-US"/>
        </w:rPr>
        <w:t xml:space="preserve">To test our hypotheses, we utilize </w:t>
      </w:r>
      <w:r>
        <w:rPr>
          <w:lang w:val="en-US"/>
        </w:rPr>
        <w:t xml:space="preserve">a </w:t>
      </w:r>
      <w:r w:rsidRPr="003D6532">
        <w:rPr>
          <w:lang w:val="en-US"/>
        </w:rPr>
        <w:t>source of data</w:t>
      </w:r>
      <w:r>
        <w:rPr>
          <w:lang w:val="en-US"/>
        </w:rPr>
        <w:t xml:space="preserve"> that </w:t>
      </w:r>
      <w:r w:rsidRPr="003D6532">
        <w:rPr>
          <w:lang w:val="en-US"/>
        </w:rPr>
        <w:t>uniquely satisfies our research purposes</w:t>
      </w:r>
      <w:r>
        <w:rPr>
          <w:lang w:val="en-US"/>
        </w:rPr>
        <w:t>:</w:t>
      </w:r>
      <w:r w:rsidRPr="003D6532">
        <w:rPr>
          <w:lang w:val="en-US"/>
        </w:rPr>
        <w:t xml:space="preserve"> the longitudinal survey </w:t>
      </w:r>
      <w:proofErr w:type="spellStart"/>
      <w:r w:rsidRPr="003D6532">
        <w:rPr>
          <w:lang w:val="en-US"/>
        </w:rPr>
        <w:t>TrEC</w:t>
      </w:r>
      <w:proofErr w:type="spellEnd"/>
      <w:r w:rsidRPr="003D6532">
        <w:rPr>
          <w:lang w:val="en-US"/>
        </w:rPr>
        <w:t xml:space="preserve"> administered by the Center for Cultural Sociology and Anthropology of Education at the National Research University Higher School of Economics. The survey is based on </w:t>
      </w:r>
      <w:r>
        <w:rPr>
          <w:lang w:val="en-US"/>
        </w:rPr>
        <w:t xml:space="preserve">the </w:t>
      </w:r>
      <w:r w:rsidRPr="003D6532">
        <w:rPr>
          <w:lang w:val="en-US"/>
        </w:rPr>
        <w:t>TIMSS 2011 sample, which represents the cohort of 8</w:t>
      </w:r>
      <w:r w:rsidRPr="003D6532">
        <w:rPr>
          <w:vertAlign w:val="superscript"/>
          <w:lang w:val="en-US"/>
        </w:rPr>
        <w:t>th</w:t>
      </w:r>
      <w:r w:rsidRPr="003D6532">
        <w:rPr>
          <w:lang w:val="en-US"/>
        </w:rPr>
        <w:t xml:space="preserve"> grade </w:t>
      </w:r>
      <w:r w:rsidRPr="003D6532">
        <w:rPr>
          <w:lang w:val="en-US"/>
        </w:rPr>
        <w:lastRenderedPageBreak/>
        <w:t xml:space="preserve">students attending Russian secondary general schools in 2011. The sample has been followed roughly on an annual basis to collect information on </w:t>
      </w:r>
      <w:r>
        <w:rPr>
          <w:lang w:val="en-US"/>
        </w:rPr>
        <w:t xml:space="preserve">the </w:t>
      </w:r>
      <w:r w:rsidRPr="003D6532">
        <w:rPr>
          <w:lang w:val="en-US"/>
        </w:rPr>
        <w:t>development of student educational careers, as well as various aspects of their participation in the educational system. The big advantage of this data</w:t>
      </w:r>
      <w:r>
        <w:rPr>
          <w:lang w:val="en-US"/>
        </w:rPr>
        <w:t>set</w:t>
      </w:r>
      <w:r w:rsidRPr="003D6532">
        <w:rPr>
          <w:lang w:val="en-US"/>
        </w:rPr>
        <w:t xml:space="preserve"> is that it features a host of high quality measures of scholastic ability </w:t>
      </w:r>
      <w:r>
        <w:rPr>
          <w:lang w:val="en-US"/>
        </w:rPr>
        <w:t xml:space="preserve">because it is </w:t>
      </w:r>
      <w:r w:rsidRPr="003D6532">
        <w:rPr>
          <w:lang w:val="en-US"/>
        </w:rPr>
        <w:t>a part of TIMSS and PISA assessments. Importantly, both assessments were carried out before the completion of 9</w:t>
      </w:r>
      <w:r w:rsidRPr="003D6532">
        <w:rPr>
          <w:vertAlign w:val="superscript"/>
          <w:lang w:val="en-US"/>
        </w:rPr>
        <w:t>th</w:t>
      </w:r>
      <w:r w:rsidRPr="003D6532">
        <w:rPr>
          <w:lang w:val="en-US"/>
        </w:rPr>
        <w:t xml:space="preserve"> grade, i.e.</w:t>
      </w:r>
      <w:r>
        <w:rPr>
          <w:lang w:val="en-US"/>
        </w:rPr>
        <w:t>,</w:t>
      </w:r>
      <w:r w:rsidRPr="003D6532">
        <w:rPr>
          <w:lang w:val="en-US"/>
        </w:rPr>
        <w:t xml:space="preserve"> before the division into </w:t>
      </w:r>
      <w:r>
        <w:rPr>
          <w:lang w:val="en-US"/>
        </w:rPr>
        <w:t xml:space="preserve">the </w:t>
      </w:r>
      <w:r w:rsidRPr="003D6532">
        <w:rPr>
          <w:lang w:val="en-US"/>
        </w:rPr>
        <w:t>academic and vocational track</w:t>
      </w:r>
      <w:r>
        <w:rPr>
          <w:lang w:val="en-US"/>
        </w:rPr>
        <w:t>s</w:t>
      </w:r>
      <w:r w:rsidRPr="003D6532">
        <w:rPr>
          <w:lang w:val="en-US"/>
        </w:rPr>
        <w:t xml:space="preserve"> takes place in Russia. Basic information about the structure of the study and its timeframe is provided in </w:t>
      </w:r>
      <w:r w:rsidRPr="003D6532">
        <w:rPr>
          <w:lang w:val="en-US"/>
        </w:rPr>
        <w:fldChar w:fldCharType="begin"/>
      </w:r>
      <w:r w:rsidRPr="003D6532">
        <w:rPr>
          <w:lang w:val="en-US"/>
        </w:rPr>
        <w:instrText xml:space="preserve"> REF _Ref475719344 </w:instrText>
      </w:r>
      <w:r w:rsidRPr="003D6532">
        <w:rPr>
          <w:lang w:val="en-US"/>
        </w:rPr>
        <w:fldChar w:fldCharType="separate"/>
      </w:r>
      <w:r w:rsidRPr="003D6532">
        <w:rPr>
          <w:lang w:val="en-US"/>
        </w:rPr>
        <w:t>Table 1</w:t>
      </w:r>
      <w:r w:rsidRPr="003D6532">
        <w:rPr>
          <w:lang w:val="en-US"/>
        </w:rPr>
        <w:fldChar w:fldCharType="end"/>
      </w:r>
      <w:r w:rsidRPr="003D6532">
        <w:rPr>
          <w:lang w:val="en-US"/>
        </w:rPr>
        <w:t>.</w:t>
      </w:r>
    </w:p>
    <w:p w14:paraId="67A6BA13" w14:textId="77777777" w:rsidR="00CD1FC2" w:rsidRPr="003D6532" w:rsidRDefault="00CD1FC2" w:rsidP="00673249">
      <w:pPr>
        <w:rPr>
          <w:lang w:val="en-US"/>
        </w:rPr>
      </w:pPr>
    </w:p>
    <w:p w14:paraId="023D60B2" w14:textId="77777777" w:rsidR="00CD1FC2" w:rsidRPr="003D6532" w:rsidRDefault="00CD1FC2" w:rsidP="00673249">
      <w:pPr>
        <w:pStyle w:val="Caption"/>
        <w:rPr>
          <w:lang w:val="en-US"/>
        </w:rPr>
      </w:pPr>
      <w:bookmarkStart w:id="5" w:name="_Ref475719344"/>
      <w:r w:rsidRPr="003D6532">
        <w:rPr>
          <w:lang w:val="en-US"/>
        </w:rPr>
        <w:t xml:space="preserve">Table </w:t>
      </w:r>
      <w:r w:rsidRPr="003D6532">
        <w:rPr>
          <w:lang w:val="en-US"/>
        </w:rPr>
        <w:fldChar w:fldCharType="begin"/>
      </w:r>
      <w:r w:rsidRPr="003D6532">
        <w:rPr>
          <w:lang w:val="en-US"/>
        </w:rPr>
        <w:instrText xml:space="preserve"> SEQ Table \* ARABIC </w:instrText>
      </w:r>
      <w:r w:rsidRPr="003D6532">
        <w:rPr>
          <w:lang w:val="en-US"/>
        </w:rPr>
        <w:fldChar w:fldCharType="separate"/>
      </w:r>
      <w:r w:rsidRPr="003D6532">
        <w:rPr>
          <w:lang w:val="en-US"/>
        </w:rPr>
        <w:t>1</w:t>
      </w:r>
      <w:r w:rsidRPr="003D6532">
        <w:rPr>
          <w:lang w:val="en-US"/>
        </w:rPr>
        <w:fldChar w:fldCharType="end"/>
      </w:r>
      <w:bookmarkEnd w:id="5"/>
      <w:r w:rsidRPr="003D6532">
        <w:rPr>
          <w:lang w:val="en-US"/>
        </w:rPr>
        <w:t xml:space="preserve"> about here</w:t>
      </w:r>
    </w:p>
    <w:p w14:paraId="07B32E76" w14:textId="77777777" w:rsidR="00CD1FC2" w:rsidRPr="003D6532" w:rsidRDefault="00CD1FC2" w:rsidP="00C86B2D">
      <w:pPr>
        <w:rPr>
          <w:lang w:val="en-US"/>
        </w:rPr>
      </w:pPr>
    </w:p>
    <w:p w14:paraId="443EB4A2" w14:textId="312DF471" w:rsidR="00CD1FC2" w:rsidRPr="003D6532" w:rsidRDefault="00CD1FC2" w:rsidP="00AC53CA">
      <w:pPr>
        <w:rPr>
          <w:lang w:val="en-US"/>
        </w:rPr>
      </w:pPr>
      <w:r w:rsidRPr="003D6532">
        <w:rPr>
          <w:lang w:val="en-US"/>
        </w:rPr>
        <w:t>The most recent available data come from Wave 5</w:t>
      </w:r>
      <w:r>
        <w:rPr>
          <w:lang w:val="en-US"/>
        </w:rPr>
        <w:t>,</w:t>
      </w:r>
      <w:r w:rsidRPr="003D6532">
        <w:rPr>
          <w:lang w:val="en-US"/>
        </w:rPr>
        <w:t xml:space="preserve"> which was </w:t>
      </w:r>
      <w:r>
        <w:rPr>
          <w:lang w:val="en-US"/>
        </w:rPr>
        <w:t xml:space="preserve">administered </w:t>
      </w:r>
      <w:r w:rsidRPr="003D6532">
        <w:rPr>
          <w:lang w:val="en-US"/>
        </w:rPr>
        <w:t>in 2016, i.e.</w:t>
      </w:r>
      <w:r>
        <w:rPr>
          <w:lang w:val="en-US"/>
        </w:rPr>
        <w:t>,</w:t>
      </w:r>
      <w:r w:rsidRPr="003D6532">
        <w:rPr>
          <w:lang w:val="en-US"/>
        </w:rPr>
        <w:t xml:space="preserve"> at least 4 years after the choice of educational track. For academic track takers, this would amount to being transferred to the 3</w:t>
      </w:r>
      <w:r w:rsidRPr="003D6532">
        <w:rPr>
          <w:vertAlign w:val="superscript"/>
          <w:lang w:val="en-US"/>
        </w:rPr>
        <w:t>rd</w:t>
      </w:r>
      <w:r w:rsidRPr="003D6532">
        <w:rPr>
          <w:lang w:val="en-US"/>
        </w:rPr>
        <w:t xml:space="preserve"> year of higher education studies. For students enrolling in vocational track after 9</w:t>
      </w:r>
      <w:r w:rsidRPr="003D6532">
        <w:rPr>
          <w:vertAlign w:val="superscript"/>
          <w:lang w:val="en-US"/>
        </w:rPr>
        <w:t>th</w:t>
      </w:r>
      <w:r w:rsidRPr="003D6532">
        <w:rPr>
          <w:lang w:val="en-US"/>
        </w:rPr>
        <w:t xml:space="preserve"> grade, this would amount to having accomplished at least 4 years of vocational training. </w:t>
      </w:r>
      <w:r>
        <w:rPr>
          <w:lang w:val="en-US"/>
        </w:rPr>
        <w:t xml:space="preserve">Thus, </w:t>
      </w:r>
      <w:r w:rsidRPr="003D6532">
        <w:rPr>
          <w:lang w:val="en-US"/>
        </w:rPr>
        <w:t>some of those</w:t>
      </w:r>
      <w:r>
        <w:rPr>
          <w:lang w:val="en-US"/>
        </w:rPr>
        <w:t xml:space="preserve"> </w:t>
      </w:r>
      <w:r w:rsidRPr="003D6532">
        <w:rPr>
          <w:lang w:val="en-US"/>
        </w:rPr>
        <w:t>who chose to enroll in 4-year vocational programs with a view towards higher education</w:t>
      </w:r>
      <w:r>
        <w:rPr>
          <w:lang w:val="en-US"/>
        </w:rPr>
        <w:t xml:space="preserve"> </w:t>
      </w:r>
      <w:r w:rsidRPr="003D6532">
        <w:rPr>
          <w:lang w:val="en-US"/>
        </w:rPr>
        <w:t xml:space="preserve">should have accomplished their transition by the time of data collection. </w:t>
      </w:r>
      <w:r>
        <w:rPr>
          <w:lang w:val="en-US"/>
        </w:rPr>
        <w:t>P</w:t>
      </w:r>
      <w:r w:rsidRPr="003D6532">
        <w:rPr>
          <w:lang w:val="en-US"/>
        </w:rPr>
        <w:t xml:space="preserve">seudo-academic transitions from 5-year vocational programs will </w:t>
      </w:r>
      <w:r>
        <w:rPr>
          <w:lang w:val="en-US"/>
        </w:rPr>
        <w:t xml:space="preserve">nevertheless </w:t>
      </w:r>
      <w:r w:rsidRPr="003D6532">
        <w:rPr>
          <w:lang w:val="en-US"/>
        </w:rPr>
        <w:t xml:space="preserve">not be recognized in our analysis. </w:t>
      </w:r>
    </w:p>
    <w:p w14:paraId="000A1547" w14:textId="166675AF" w:rsidR="00CD1FC2" w:rsidRPr="003D6532" w:rsidRDefault="00CD1FC2" w:rsidP="00AC53CA">
      <w:pPr>
        <w:rPr>
          <w:lang w:val="en-US"/>
        </w:rPr>
      </w:pPr>
      <w:r w:rsidRPr="003D6532">
        <w:rPr>
          <w:lang w:val="en-US"/>
        </w:rPr>
        <w:t xml:space="preserve">Another potential problem is posed by sample attrition, which by Wave 5 amounted to 20% of the original TIMSS sample. If attrition is selective with respect to our main outcomes of interest, it could be a source of possible bias in our estimates. To test this </w:t>
      </w:r>
      <w:r>
        <w:rPr>
          <w:lang w:val="en-US"/>
        </w:rPr>
        <w:t>possibility</w:t>
      </w:r>
      <w:r w:rsidRPr="003D6532">
        <w:rPr>
          <w:lang w:val="en-US"/>
        </w:rPr>
        <w:t xml:space="preserve">, we consider early students’ educational aspirations from the more complete samples. More specifically, we have data on 4,138 respondents of Wave 2, as well as track choice information on </w:t>
      </w:r>
      <w:r>
        <w:rPr>
          <w:lang w:val="en-US"/>
        </w:rPr>
        <w:t xml:space="preserve">an </w:t>
      </w:r>
      <w:r w:rsidRPr="003D6532">
        <w:rPr>
          <w:lang w:val="en-US"/>
        </w:rPr>
        <w:t xml:space="preserve">additional 755 non-respondents in Wave 2, which was collected as part of </w:t>
      </w:r>
      <w:r>
        <w:rPr>
          <w:lang w:val="en-US"/>
        </w:rPr>
        <w:t xml:space="preserve">a </w:t>
      </w:r>
      <w:r w:rsidRPr="003D6532">
        <w:rPr>
          <w:lang w:val="en-US"/>
        </w:rPr>
        <w:t xml:space="preserve">sample replenishment effort. Hence, our main analyses presented in this article will be </w:t>
      </w:r>
      <w:r>
        <w:rPr>
          <w:lang w:val="en-US"/>
        </w:rPr>
        <w:lastRenderedPageBreak/>
        <w:t xml:space="preserve">conducted </w:t>
      </w:r>
      <w:r w:rsidRPr="003D6532">
        <w:rPr>
          <w:lang w:val="en-US"/>
        </w:rPr>
        <w:t>using information on real educational transitions (as reported by Wave 5). However, as part of our robustness checks</w:t>
      </w:r>
      <w:r>
        <w:rPr>
          <w:lang w:val="en-US"/>
        </w:rPr>
        <w:t>,</w:t>
      </w:r>
      <w:r w:rsidRPr="003D6532">
        <w:rPr>
          <w:lang w:val="en-US"/>
        </w:rPr>
        <w:t xml:space="preserve"> we complement main analyses with analyses of aspired educational transitions from the earl</w:t>
      </w:r>
      <w:r>
        <w:rPr>
          <w:lang w:val="en-US"/>
        </w:rPr>
        <w:t>ier</w:t>
      </w:r>
      <w:r w:rsidRPr="003D6532">
        <w:rPr>
          <w:lang w:val="en-US"/>
        </w:rPr>
        <w:t xml:space="preserve"> but more complete sample (as reported by Wave 2). If significant attrition bias is present, we would expect this to be reflected in substantive differences between </w:t>
      </w:r>
      <w:r>
        <w:rPr>
          <w:lang w:val="en-US"/>
        </w:rPr>
        <w:t xml:space="preserve">the </w:t>
      </w:r>
      <w:r w:rsidRPr="003D6532">
        <w:rPr>
          <w:lang w:val="en-US"/>
        </w:rPr>
        <w:t xml:space="preserve">estimation results. This strategy also partly </w:t>
      </w:r>
      <w:r>
        <w:rPr>
          <w:lang w:val="en-US"/>
        </w:rPr>
        <w:t xml:space="preserve">compensates </w:t>
      </w:r>
      <w:r w:rsidRPr="003D6532">
        <w:rPr>
          <w:lang w:val="en-US"/>
        </w:rPr>
        <w:t>for the lack of data about real transitions to higher education from 5-year vocational programs.</w:t>
      </w:r>
    </w:p>
    <w:p w14:paraId="55D3068D" w14:textId="5FE0F635" w:rsidR="00CD1FC2" w:rsidRPr="003D6532" w:rsidRDefault="00CD1FC2" w:rsidP="004749C8">
      <w:pPr>
        <w:rPr>
          <w:lang w:val="en-US"/>
        </w:rPr>
      </w:pPr>
      <w:r w:rsidRPr="003D6532">
        <w:rPr>
          <w:lang w:val="en-US"/>
        </w:rPr>
        <w:t xml:space="preserve">We adopt a very simplistic classification of educational pathways (and aspirations), which simply distinguishes between 4 possible scenarios: </w:t>
      </w:r>
    </w:p>
    <w:p w14:paraId="048E5DF4" w14:textId="77777777" w:rsidR="00CD1FC2" w:rsidRPr="003D6532" w:rsidRDefault="00CD1FC2" w:rsidP="004749C8">
      <w:pPr>
        <w:rPr>
          <w:lang w:val="en-US"/>
        </w:rPr>
      </w:pPr>
    </w:p>
    <w:p w14:paraId="5F906621" w14:textId="152B8022" w:rsidR="00CD1FC2" w:rsidRPr="003D6532" w:rsidRDefault="00CD1FC2" w:rsidP="00C4678F">
      <w:pPr>
        <w:pStyle w:val="ListParagraph"/>
        <w:numPr>
          <w:ilvl w:val="0"/>
          <w:numId w:val="23"/>
        </w:numPr>
        <w:jc w:val="left"/>
        <w:rPr>
          <w:lang w:val="en-US"/>
        </w:rPr>
      </w:pPr>
      <w:r w:rsidRPr="003D6532">
        <w:rPr>
          <w:i/>
          <w:lang w:val="en-US"/>
        </w:rPr>
        <w:t>Academic pathway</w:t>
      </w:r>
      <w:r w:rsidRPr="003D6532">
        <w:rPr>
          <w:lang w:val="en-US"/>
        </w:rPr>
        <w:t>: academic track after 9</w:t>
      </w:r>
      <w:r w:rsidRPr="003D6532">
        <w:rPr>
          <w:vertAlign w:val="superscript"/>
          <w:lang w:val="en-US"/>
        </w:rPr>
        <w:t>th</w:t>
      </w:r>
      <w:r w:rsidRPr="003D6532">
        <w:rPr>
          <w:lang w:val="en-US"/>
        </w:rPr>
        <w:t xml:space="preserve"> grade </w:t>
      </w:r>
      <w:r w:rsidRPr="003D6532">
        <w:rPr>
          <w:rFonts w:cs="Times New Roman"/>
          <w:lang w:val="en-US"/>
        </w:rPr>
        <w:t>→</w:t>
      </w:r>
      <w:r w:rsidRPr="003D6532">
        <w:rPr>
          <w:lang w:val="en-US"/>
        </w:rPr>
        <w:t xml:space="preserve"> higher education; </w:t>
      </w:r>
    </w:p>
    <w:p w14:paraId="56366B82" w14:textId="0632582E" w:rsidR="00CD1FC2" w:rsidRPr="003D6532" w:rsidRDefault="00CD1FC2" w:rsidP="00C4678F">
      <w:pPr>
        <w:pStyle w:val="ListParagraph"/>
        <w:numPr>
          <w:ilvl w:val="0"/>
          <w:numId w:val="23"/>
        </w:numPr>
        <w:jc w:val="left"/>
        <w:rPr>
          <w:lang w:val="en-US"/>
        </w:rPr>
      </w:pPr>
      <w:r w:rsidRPr="003D6532">
        <w:rPr>
          <w:i/>
          <w:lang w:val="en-US"/>
        </w:rPr>
        <w:t>Pseudo-academic pathway</w:t>
      </w:r>
      <w:r w:rsidRPr="003D6532">
        <w:rPr>
          <w:lang w:val="en-US"/>
        </w:rPr>
        <w:t>: vocational track after 9</w:t>
      </w:r>
      <w:r w:rsidRPr="003D6532">
        <w:rPr>
          <w:vertAlign w:val="superscript"/>
          <w:lang w:val="en-US"/>
        </w:rPr>
        <w:t>th</w:t>
      </w:r>
      <w:r w:rsidRPr="003D6532">
        <w:rPr>
          <w:lang w:val="en-US"/>
        </w:rPr>
        <w:t xml:space="preserve"> grade </w:t>
      </w:r>
      <w:r w:rsidRPr="003D6532">
        <w:rPr>
          <w:rFonts w:cs="Times New Roman"/>
          <w:lang w:val="en-US"/>
        </w:rPr>
        <w:t>→</w:t>
      </w:r>
      <w:r w:rsidRPr="003D6532">
        <w:rPr>
          <w:lang w:val="en-US"/>
        </w:rPr>
        <w:t xml:space="preserve"> secondary vocational education </w:t>
      </w:r>
      <w:r w:rsidRPr="003D6532">
        <w:rPr>
          <w:rFonts w:cs="Times New Roman"/>
          <w:lang w:val="en-US"/>
        </w:rPr>
        <w:t>→</w:t>
      </w:r>
      <w:r w:rsidRPr="003D6532">
        <w:rPr>
          <w:lang w:val="en-US"/>
        </w:rPr>
        <w:t xml:space="preserve"> higher education; </w:t>
      </w:r>
    </w:p>
    <w:p w14:paraId="4799FCD9" w14:textId="1BC31B54" w:rsidR="00CD1FC2" w:rsidRPr="003D6532" w:rsidRDefault="00CD1FC2" w:rsidP="00C4678F">
      <w:pPr>
        <w:pStyle w:val="ListParagraph"/>
        <w:numPr>
          <w:ilvl w:val="0"/>
          <w:numId w:val="23"/>
        </w:numPr>
        <w:jc w:val="left"/>
        <w:rPr>
          <w:lang w:val="en-US"/>
        </w:rPr>
      </w:pPr>
      <w:r w:rsidRPr="003D6532">
        <w:rPr>
          <w:i/>
          <w:lang w:val="en-US"/>
        </w:rPr>
        <w:t>Vocational pathway</w:t>
      </w:r>
      <w:r w:rsidRPr="003D6532">
        <w:rPr>
          <w:lang w:val="en-US"/>
        </w:rPr>
        <w:t>: vocational track after 9</w:t>
      </w:r>
      <w:r w:rsidRPr="003D6532">
        <w:rPr>
          <w:vertAlign w:val="superscript"/>
          <w:lang w:val="en-US"/>
        </w:rPr>
        <w:t>th</w:t>
      </w:r>
      <w:r w:rsidRPr="003D6532">
        <w:rPr>
          <w:lang w:val="en-US"/>
        </w:rPr>
        <w:t xml:space="preserve"> grade </w:t>
      </w:r>
      <w:r w:rsidRPr="003D6532">
        <w:rPr>
          <w:rFonts w:cs="Times New Roman"/>
          <w:lang w:val="en-US"/>
        </w:rPr>
        <w:t>→</w:t>
      </w:r>
      <w:r w:rsidRPr="003D6532">
        <w:rPr>
          <w:lang w:val="en-US"/>
        </w:rPr>
        <w:t xml:space="preserve"> vocational education as the ultimate goal; </w:t>
      </w:r>
    </w:p>
    <w:p w14:paraId="2AC6F0FA" w14:textId="73BD84FA" w:rsidR="00CD1FC2" w:rsidRPr="003D6532" w:rsidRDefault="00CD1FC2" w:rsidP="00C4678F">
      <w:pPr>
        <w:pStyle w:val="ListParagraph"/>
        <w:numPr>
          <w:ilvl w:val="0"/>
          <w:numId w:val="23"/>
        </w:numPr>
        <w:jc w:val="left"/>
        <w:rPr>
          <w:lang w:val="en-US"/>
        </w:rPr>
      </w:pPr>
      <w:r w:rsidRPr="003D6532">
        <w:rPr>
          <w:i/>
          <w:lang w:val="en-US"/>
        </w:rPr>
        <w:t>Other pathways</w:t>
      </w:r>
      <w:r w:rsidRPr="003D6532">
        <w:rPr>
          <w:lang w:val="en-US"/>
        </w:rPr>
        <w:t>: all other scenarios, which include various atypical and discontinued pathways (e.g.</w:t>
      </w:r>
      <w:r>
        <w:rPr>
          <w:lang w:val="en-US"/>
        </w:rPr>
        <w:t>,</w:t>
      </w:r>
      <w:r w:rsidRPr="003D6532">
        <w:rPr>
          <w:lang w:val="en-US"/>
        </w:rPr>
        <w:t xml:space="preserve"> drop-outs, multiple track switching).</w:t>
      </w:r>
    </w:p>
    <w:p w14:paraId="50316FCD" w14:textId="77777777" w:rsidR="00CD1FC2" w:rsidRPr="003D6532" w:rsidRDefault="00CD1FC2" w:rsidP="00A737FA">
      <w:pPr>
        <w:ind w:left="709" w:firstLine="0"/>
        <w:rPr>
          <w:lang w:val="en-US"/>
        </w:rPr>
      </w:pPr>
    </w:p>
    <w:p w14:paraId="1DDEF5F0" w14:textId="30FE3280" w:rsidR="00CD1FC2" w:rsidRPr="003D6532" w:rsidRDefault="00CD1FC2" w:rsidP="004749C8">
      <w:pPr>
        <w:rPr>
          <w:lang w:val="en-US"/>
        </w:rPr>
      </w:pPr>
      <w:r w:rsidRPr="003D6532">
        <w:rPr>
          <w:lang w:val="en-US"/>
        </w:rPr>
        <w:t>We neglect the distinction between full</w:t>
      </w:r>
      <w:r>
        <w:rPr>
          <w:lang w:val="en-US"/>
        </w:rPr>
        <w:t>-</w:t>
      </w:r>
      <w:r w:rsidRPr="003D6532">
        <w:rPr>
          <w:lang w:val="en-US"/>
        </w:rPr>
        <w:t>time and part-time education, private and state-funded education, and different atypical pathways (e.g.</w:t>
      </w:r>
      <w:r>
        <w:rPr>
          <w:lang w:val="en-US"/>
        </w:rPr>
        <w:t>,</w:t>
      </w:r>
      <w:r w:rsidRPr="003D6532">
        <w:rPr>
          <w:lang w:val="en-US"/>
        </w:rPr>
        <w:t xml:space="preserve"> entering vocational schools after completing academic track, dropping out) for the following reasons. First, a more detailed classification would quickly </w:t>
      </w:r>
      <w:r>
        <w:rPr>
          <w:lang w:val="en-US"/>
        </w:rPr>
        <w:t xml:space="preserve">become </w:t>
      </w:r>
      <w:r w:rsidRPr="003D6532">
        <w:rPr>
          <w:lang w:val="en-US"/>
        </w:rPr>
        <w:t>too confusing</w:t>
      </w:r>
      <w:r>
        <w:rPr>
          <w:lang w:val="en-US"/>
        </w:rPr>
        <w:t xml:space="preserve"> </w:t>
      </w:r>
      <w:r w:rsidRPr="003D6532">
        <w:rPr>
          <w:lang w:val="en-US"/>
        </w:rPr>
        <w:t>and create problems for statistical inference. Second, we deem more detailed classification irrelevant for a more general test of our hypotheses. Third, although we recognize that pseudo-academic pathways to higher education might entail more marginal forms of education (i.e.</w:t>
      </w:r>
      <w:r>
        <w:rPr>
          <w:lang w:val="en-US"/>
        </w:rPr>
        <w:t>,</w:t>
      </w:r>
      <w:r w:rsidRPr="003D6532">
        <w:rPr>
          <w:lang w:val="en-US"/>
        </w:rPr>
        <w:t xml:space="preserve"> private and/or part-time </w:t>
      </w:r>
      <w:r w:rsidRPr="003D6532">
        <w:rPr>
          <w:lang w:val="en-US"/>
        </w:rPr>
        <w:lastRenderedPageBreak/>
        <w:t xml:space="preserve">studies) </w:t>
      </w:r>
      <w:r>
        <w:rPr>
          <w:lang w:val="en-US"/>
        </w:rPr>
        <w:t xml:space="preserve">and </w:t>
      </w:r>
      <w:r w:rsidRPr="003D6532">
        <w:rPr>
          <w:lang w:val="en-US"/>
        </w:rPr>
        <w:t>thus provid</w:t>
      </w:r>
      <w:r>
        <w:rPr>
          <w:lang w:val="en-US"/>
        </w:rPr>
        <w:t>e</w:t>
      </w:r>
      <w:r w:rsidRPr="003D6532">
        <w:rPr>
          <w:lang w:val="en-US"/>
        </w:rPr>
        <w:t xml:space="preserve"> credentials of significantly lower quality, we assume that this possible loss of quality is taken into account when families make their decisions. The </w:t>
      </w:r>
      <w:r>
        <w:rPr>
          <w:lang w:val="en-US"/>
        </w:rPr>
        <w:t xml:space="preserve">latter </w:t>
      </w:r>
      <w:r w:rsidRPr="003D6532">
        <w:rPr>
          <w:lang w:val="en-US"/>
        </w:rPr>
        <w:t xml:space="preserve">argument is particularly relevant for upper class families, because higher education credentials would still be more valuable </w:t>
      </w:r>
      <w:r>
        <w:rPr>
          <w:lang w:val="en-US"/>
        </w:rPr>
        <w:t xml:space="preserve">to them </w:t>
      </w:r>
      <w:r w:rsidRPr="003D6532">
        <w:rPr>
          <w:lang w:val="en-US"/>
        </w:rPr>
        <w:t>than vocational education credentials regardless of how they were obtained.</w:t>
      </w:r>
    </w:p>
    <w:p w14:paraId="0D8DC8C5" w14:textId="1FDA6EED" w:rsidR="00CD1FC2" w:rsidRPr="003D6532" w:rsidRDefault="00CD1FC2" w:rsidP="00A15445">
      <w:pPr>
        <w:rPr>
          <w:lang w:val="en-US"/>
        </w:rPr>
      </w:pPr>
      <w:r w:rsidRPr="003D6532">
        <w:rPr>
          <w:lang w:val="en-US"/>
        </w:rPr>
        <w:t xml:space="preserve">To proxy </w:t>
      </w:r>
      <w:r>
        <w:rPr>
          <w:lang w:val="en-US"/>
        </w:rPr>
        <w:t xml:space="preserve">for </w:t>
      </w:r>
      <w:r w:rsidRPr="003D6532">
        <w:rPr>
          <w:lang w:val="en-US"/>
        </w:rPr>
        <w:t>social background, we use information about the education of parents, because it is the most complete and the most accurately reported measure available in the data. Missing information on the education of parents in the first wave was complemented by information from subsequent surveys, allowing us to impute the majority of missing cases. We distinguish between higher social background (families in which at least one parent has attained higher education) and lower social background (all other families).</w:t>
      </w:r>
    </w:p>
    <w:p w14:paraId="135BD9DA" w14:textId="437B1DAA" w:rsidR="00CD1FC2" w:rsidRPr="003D6532" w:rsidRDefault="00CD1FC2" w:rsidP="004D3B86">
      <w:pPr>
        <w:rPr>
          <w:lang w:val="en-US"/>
        </w:rPr>
      </w:pPr>
      <w:r w:rsidRPr="003D6532">
        <w:rPr>
          <w:lang w:val="en-US"/>
        </w:rPr>
        <w:t>To measure scholastic ability and ensure the robustness of our findings,</w:t>
      </w:r>
      <w:r w:rsidRPr="003D6532" w:rsidDel="00CB4F62">
        <w:rPr>
          <w:lang w:val="en-US"/>
        </w:rPr>
        <w:t xml:space="preserve"> </w:t>
      </w:r>
      <w:r w:rsidRPr="003D6532">
        <w:rPr>
          <w:lang w:val="en-US"/>
        </w:rPr>
        <w:t>we rely on a host of TIMSS and PISA assessments, all of which were taken before 9</w:t>
      </w:r>
      <w:r w:rsidRPr="003D6532">
        <w:rPr>
          <w:vertAlign w:val="superscript"/>
          <w:lang w:val="en-US"/>
        </w:rPr>
        <w:t>th</w:t>
      </w:r>
      <w:r w:rsidRPr="003D6532">
        <w:rPr>
          <w:lang w:val="en-US"/>
        </w:rPr>
        <w:t xml:space="preserve"> grade. In particular, we have TIMSS science and math scores</w:t>
      </w:r>
      <w:r>
        <w:rPr>
          <w:lang w:val="en-US"/>
        </w:rPr>
        <w:t xml:space="preserve"> </w:t>
      </w:r>
      <w:r w:rsidRPr="003D6532">
        <w:rPr>
          <w:lang w:val="en-US"/>
        </w:rPr>
        <w:t>and PISA science, math and reading scores. In addition, we construct a single synthetic measure by extracting the first principal component from all of the five scores. This synthetic measure explains 78.9% of their joint variance</w:t>
      </w:r>
      <w:r>
        <w:rPr>
          <w:lang w:val="en-US"/>
        </w:rPr>
        <w:t xml:space="preserve">, </w:t>
      </w:r>
      <w:r w:rsidRPr="003D6532">
        <w:rPr>
          <w:lang w:val="en-US"/>
        </w:rPr>
        <w:t>giv</w:t>
      </w:r>
      <w:r>
        <w:rPr>
          <w:lang w:val="en-US"/>
        </w:rPr>
        <w:t>ing</w:t>
      </w:r>
      <w:r w:rsidRPr="003D6532">
        <w:rPr>
          <w:lang w:val="en-US"/>
        </w:rPr>
        <w:t xml:space="preserve"> </w:t>
      </w:r>
      <w:r>
        <w:rPr>
          <w:lang w:val="en-US"/>
        </w:rPr>
        <w:t xml:space="preserve">us </w:t>
      </w:r>
      <w:r w:rsidRPr="003D6532">
        <w:rPr>
          <w:lang w:val="en-US"/>
        </w:rPr>
        <w:t xml:space="preserve">a slightly more informative measure of scholastic ability than </w:t>
      </w:r>
      <w:r>
        <w:rPr>
          <w:lang w:val="en-US"/>
        </w:rPr>
        <w:t xml:space="preserve">the </w:t>
      </w:r>
      <w:r w:rsidRPr="003D6532">
        <w:rPr>
          <w:lang w:val="en-US"/>
        </w:rPr>
        <w:t>single components. All ability measures appear as standardized in our analyses.</w:t>
      </w:r>
    </w:p>
    <w:p w14:paraId="4617389F" w14:textId="008500F3" w:rsidR="00CD1FC2" w:rsidRPr="003D6532" w:rsidRDefault="00CD1FC2" w:rsidP="00061B28">
      <w:pPr>
        <w:rPr>
          <w:lang w:val="en-US"/>
        </w:rPr>
      </w:pPr>
      <w:r w:rsidRPr="003D6532">
        <w:rPr>
          <w:lang w:val="en-US"/>
        </w:rPr>
        <w:t>Finally, we use a modest set of controls. Specifically, we control for 1) gender, because it is likely to confound the relationship between track choice and ability, and 2) the area of residence (at the time of TIMSS assessment), because it is likely to confound the relationship between track choice and social background.</w:t>
      </w:r>
      <w:r w:rsidRPr="003D6532" w:rsidDel="00061B28">
        <w:rPr>
          <w:lang w:val="en-US"/>
        </w:rPr>
        <w:t xml:space="preserve"> </w:t>
      </w:r>
    </w:p>
    <w:p w14:paraId="21EAA802" w14:textId="6B7F57C9" w:rsidR="00CD1FC2" w:rsidRPr="003D6532" w:rsidRDefault="00CD1FC2" w:rsidP="00061B28">
      <w:pPr>
        <w:rPr>
          <w:lang w:val="en-US"/>
        </w:rPr>
      </w:pPr>
    </w:p>
    <w:p w14:paraId="423C2559" w14:textId="21EEF41C" w:rsidR="00CD1FC2" w:rsidRPr="003D6532" w:rsidRDefault="00CD1FC2" w:rsidP="00DF78B6">
      <w:pPr>
        <w:pStyle w:val="Heading1"/>
        <w:rPr>
          <w:lang w:val="en-US"/>
        </w:rPr>
      </w:pPr>
      <w:r w:rsidRPr="003D6532">
        <w:rPr>
          <w:lang w:val="en-US"/>
        </w:rPr>
        <w:lastRenderedPageBreak/>
        <w:t>5. Results</w:t>
      </w:r>
    </w:p>
    <w:p w14:paraId="000DC761" w14:textId="2F48A025" w:rsidR="00CD1FC2" w:rsidRPr="003D6532" w:rsidRDefault="00CD1FC2" w:rsidP="00814CA9">
      <w:pPr>
        <w:pStyle w:val="Heading2"/>
        <w:rPr>
          <w:lang w:val="en-US"/>
        </w:rPr>
      </w:pPr>
      <w:r w:rsidRPr="003D6532">
        <w:rPr>
          <w:lang w:val="en-US"/>
        </w:rPr>
        <w:t>5.1 Real and aspired educational transitions</w:t>
      </w:r>
    </w:p>
    <w:p w14:paraId="2E830C01" w14:textId="4797F564" w:rsidR="00CD1FC2" w:rsidRPr="003D6532" w:rsidRDefault="00CD1FC2">
      <w:pPr>
        <w:rPr>
          <w:lang w:val="en-US"/>
        </w:rPr>
      </w:pPr>
      <w:r w:rsidRPr="003D6532">
        <w:rPr>
          <w:lang w:val="en-US"/>
        </w:rPr>
        <w:t xml:space="preserve">We begin by briefly stating the distribution of </w:t>
      </w:r>
      <w:r w:rsidRPr="003D6532">
        <w:rPr>
          <w:i/>
          <w:lang w:val="en-US"/>
        </w:rPr>
        <w:t xml:space="preserve">real </w:t>
      </w:r>
      <w:r w:rsidRPr="003D6532">
        <w:rPr>
          <w:lang w:val="en-US"/>
        </w:rPr>
        <w:t>educational transitions as reported in Wave 5 (</w:t>
      </w:r>
      <w:r w:rsidRPr="003D6532">
        <w:rPr>
          <w:lang w:val="en-US"/>
        </w:rPr>
        <w:fldChar w:fldCharType="begin"/>
      </w:r>
      <w:r w:rsidRPr="003D6532">
        <w:rPr>
          <w:lang w:val="en-US"/>
        </w:rPr>
        <w:instrText xml:space="preserve"> REF _Ref476736368 \h  \* MERGEFORMAT </w:instrText>
      </w:r>
      <w:r w:rsidRPr="003D6532">
        <w:rPr>
          <w:lang w:val="en-US"/>
        </w:rPr>
      </w:r>
      <w:r w:rsidRPr="003D6532">
        <w:rPr>
          <w:lang w:val="en-US"/>
        </w:rPr>
        <w:fldChar w:fldCharType="separate"/>
      </w:r>
      <w:r w:rsidRPr="003D6532">
        <w:rPr>
          <w:lang w:val="en-US"/>
        </w:rPr>
        <w:t>Table 2</w:t>
      </w:r>
      <w:r w:rsidRPr="003D6532">
        <w:rPr>
          <w:lang w:val="en-US"/>
        </w:rPr>
        <w:fldChar w:fldCharType="end"/>
      </w:r>
      <w:r w:rsidRPr="003D6532">
        <w:rPr>
          <w:lang w:val="en-US"/>
        </w:rPr>
        <w:t xml:space="preserve">, first column). The </w:t>
      </w:r>
      <w:proofErr w:type="gramStart"/>
      <w:r w:rsidRPr="003D6532">
        <w:rPr>
          <w:lang w:val="en-US"/>
        </w:rPr>
        <w:t>majority of children – 52% – successfully accomplish</w:t>
      </w:r>
      <w:proofErr w:type="gramEnd"/>
      <w:r w:rsidRPr="003D6532">
        <w:rPr>
          <w:lang w:val="en-US"/>
        </w:rPr>
        <w:t xml:space="preserve"> </w:t>
      </w:r>
      <w:r>
        <w:rPr>
          <w:lang w:val="en-US"/>
        </w:rPr>
        <w:t xml:space="preserve">the </w:t>
      </w:r>
      <w:r w:rsidRPr="003D6532">
        <w:rPr>
          <w:lang w:val="en-US"/>
        </w:rPr>
        <w:t>academic track and enter higher education, i.e.</w:t>
      </w:r>
      <w:r>
        <w:rPr>
          <w:lang w:val="en-US"/>
        </w:rPr>
        <w:t>,</w:t>
      </w:r>
      <w:r w:rsidRPr="003D6532">
        <w:rPr>
          <w:lang w:val="en-US"/>
        </w:rPr>
        <w:t xml:space="preserve"> </w:t>
      </w:r>
      <w:r>
        <w:rPr>
          <w:lang w:val="en-US"/>
        </w:rPr>
        <w:t xml:space="preserve">they </w:t>
      </w:r>
      <w:r w:rsidRPr="003D6532">
        <w:rPr>
          <w:lang w:val="en-US"/>
        </w:rPr>
        <w:t xml:space="preserve">follow the academic pathway. </w:t>
      </w:r>
      <w:r w:rsidRPr="003D6532">
        <w:rPr>
          <w:color w:val="000000" w:themeColor="text1"/>
          <w:lang w:val="en-US"/>
        </w:rPr>
        <w:t xml:space="preserve">Students taking </w:t>
      </w:r>
      <w:r>
        <w:rPr>
          <w:color w:val="000000" w:themeColor="text1"/>
          <w:lang w:val="en-US"/>
        </w:rPr>
        <w:t xml:space="preserve">the </w:t>
      </w:r>
      <w:r w:rsidRPr="003D6532">
        <w:rPr>
          <w:color w:val="000000" w:themeColor="text1"/>
          <w:lang w:val="en-US"/>
        </w:rPr>
        <w:t>vocational pathway account for 27%</w:t>
      </w:r>
      <w:r>
        <w:rPr>
          <w:color w:val="000000" w:themeColor="text1"/>
          <w:lang w:val="en-US"/>
        </w:rPr>
        <w:t>, and</w:t>
      </w:r>
      <w:r w:rsidRPr="003D6532">
        <w:rPr>
          <w:color w:val="000000" w:themeColor="text1"/>
          <w:lang w:val="en-US"/>
        </w:rPr>
        <w:t xml:space="preserve"> </w:t>
      </w:r>
      <w:r>
        <w:rPr>
          <w:color w:val="000000" w:themeColor="text1"/>
          <w:lang w:val="en-US"/>
        </w:rPr>
        <w:t xml:space="preserve">about </w:t>
      </w:r>
      <w:r w:rsidRPr="003D6532">
        <w:rPr>
          <w:color w:val="000000" w:themeColor="text1"/>
          <w:lang w:val="en-US"/>
        </w:rPr>
        <w:t xml:space="preserve">10% take </w:t>
      </w:r>
      <w:r>
        <w:rPr>
          <w:color w:val="000000" w:themeColor="text1"/>
          <w:lang w:val="en-US"/>
        </w:rPr>
        <w:t xml:space="preserve">the </w:t>
      </w:r>
      <w:r w:rsidRPr="003D6532">
        <w:rPr>
          <w:color w:val="000000" w:themeColor="text1"/>
          <w:lang w:val="en-US"/>
        </w:rPr>
        <w:t xml:space="preserve">pseudo-academic pathway to higher education. Various atypical and discontinued pathways account for the </w:t>
      </w:r>
      <w:r>
        <w:rPr>
          <w:color w:val="000000" w:themeColor="text1"/>
          <w:lang w:val="en-US"/>
        </w:rPr>
        <w:t xml:space="preserve">remaining </w:t>
      </w:r>
      <w:r w:rsidRPr="003D6532">
        <w:rPr>
          <w:color w:val="000000" w:themeColor="text1"/>
          <w:lang w:val="en-US"/>
        </w:rPr>
        <w:t>12%.</w:t>
      </w:r>
    </w:p>
    <w:p w14:paraId="1871B242" w14:textId="1D3CEB9D" w:rsidR="00CD1FC2" w:rsidRPr="003D6532" w:rsidRDefault="00CD1FC2" w:rsidP="003032EF">
      <w:pPr>
        <w:rPr>
          <w:lang w:val="en-US"/>
        </w:rPr>
      </w:pPr>
    </w:p>
    <w:p w14:paraId="494671A8" w14:textId="77777777" w:rsidR="00CD1FC2" w:rsidRPr="003D6532" w:rsidRDefault="00CD1FC2" w:rsidP="00384874">
      <w:pPr>
        <w:pStyle w:val="Caption"/>
        <w:rPr>
          <w:lang w:val="en-US"/>
        </w:rPr>
      </w:pPr>
      <w:bookmarkStart w:id="6" w:name="_Ref476736368"/>
      <w:r w:rsidRPr="003D6532">
        <w:rPr>
          <w:lang w:val="en-US"/>
        </w:rPr>
        <w:t xml:space="preserve">Table </w:t>
      </w:r>
      <w:r w:rsidRPr="003D6532">
        <w:rPr>
          <w:lang w:val="en-US"/>
        </w:rPr>
        <w:fldChar w:fldCharType="begin"/>
      </w:r>
      <w:r w:rsidRPr="003D6532">
        <w:rPr>
          <w:lang w:val="en-US"/>
        </w:rPr>
        <w:instrText xml:space="preserve"> SEQ Table \* ARABIC </w:instrText>
      </w:r>
      <w:r w:rsidRPr="003D6532">
        <w:rPr>
          <w:lang w:val="en-US"/>
        </w:rPr>
        <w:fldChar w:fldCharType="separate"/>
      </w:r>
      <w:r w:rsidRPr="003D6532">
        <w:rPr>
          <w:lang w:val="en-US"/>
        </w:rPr>
        <w:t>2</w:t>
      </w:r>
      <w:r w:rsidRPr="003D6532">
        <w:rPr>
          <w:lang w:val="en-US"/>
        </w:rPr>
        <w:fldChar w:fldCharType="end"/>
      </w:r>
      <w:bookmarkEnd w:id="6"/>
      <w:r w:rsidRPr="003D6532">
        <w:rPr>
          <w:lang w:val="en-US"/>
        </w:rPr>
        <w:t xml:space="preserve"> about here</w:t>
      </w:r>
    </w:p>
    <w:p w14:paraId="1DEDAD48" w14:textId="371B98C7" w:rsidR="00CD1FC2" w:rsidRPr="003D6532" w:rsidRDefault="00CD1FC2" w:rsidP="007356F9">
      <w:pPr>
        <w:rPr>
          <w:lang w:val="en-US"/>
        </w:rPr>
      </w:pPr>
    </w:p>
    <w:p w14:paraId="4A3667E3" w14:textId="2577F002" w:rsidR="00CD1FC2" w:rsidRPr="003D6532" w:rsidRDefault="00CD1FC2" w:rsidP="00BD31FE">
      <w:pPr>
        <w:rPr>
          <w:lang w:val="en-US"/>
        </w:rPr>
      </w:pPr>
      <w:r w:rsidRPr="003D6532">
        <w:rPr>
          <w:lang w:val="en-US"/>
        </w:rPr>
        <w:t xml:space="preserve">However, as we mentioned before, Wave 5 features a rather high level of attrition (20% of the original TIMSS sample). To check whether this may induce any bias, we also provide information on </w:t>
      </w:r>
      <w:r w:rsidRPr="003D6532">
        <w:rPr>
          <w:i/>
          <w:lang w:val="en-US"/>
        </w:rPr>
        <w:t>aspired</w:t>
      </w:r>
      <w:r w:rsidRPr="003D6532">
        <w:rPr>
          <w:lang w:val="en-US"/>
        </w:rPr>
        <w:t xml:space="preserve"> educational transitions and present this distribution for students</w:t>
      </w:r>
      <w:r>
        <w:rPr>
          <w:lang w:val="en-US"/>
        </w:rPr>
        <w:t xml:space="preserve"> </w:t>
      </w:r>
      <w:r w:rsidRPr="003D6532">
        <w:rPr>
          <w:lang w:val="en-US"/>
        </w:rPr>
        <w:t>who were successfully surveyed in Wave 5 (</w:t>
      </w:r>
      <w:r w:rsidRPr="003D6532">
        <w:rPr>
          <w:lang w:val="en-US"/>
        </w:rPr>
        <w:fldChar w:fldCharType="begin"/>
      </w:r>
      <w:r w:rsidRPr="003D6532">
        <w:rPr>
          <w:lang w:val="en-US"/>
        </w:rPr>
        <w:instrText xml:space="preserve"> REF _Ref476736368 \h </w:instrText>
      </w:r>
      <w:r w:rsidRPr="003D6532">
        <w:rPr>
          <w:lang w:val="en-US"/>
        </w:rPr>
      </w:r>
      <w:r w:rsidRPr="003D6532">
        <w:rPr>
          <w:lang w:val="en-US"/>
        </w:rPr>
        <w:fldChar w:fldCharType="separate"/>
      </w:r>
      <w:r w:rsidRPr="003D6532">
        <w:rPr>
          <w:lang w:val="en-US"/>
        </w:rPr>
        <w:t>Table 2</w:t>
      </w:r>
      <w:r w:rsidRPr="003D6532">
        <w:rPr>
          <w:lang w:val="en-US"/>
        </w:rPr>
        <w:fldChar w:fldCharType="end"/>
      </w:r>
      <w:r w:rsidRPr="003D6532">
        <w:rPr>
          <w:lang w:val="en-US"/>
        </w:rPr>
        <w:t>, second column) and those</w:t>
      </w:r>
      <w:r>
        <w:rPr>
          <w:lang w:val="en-US"/>
        </w:rPr>
        <w:t xml:space="preserve"> </w:t>
      </w:r>
      <w:r w:rsidRPr="003D6532">
        <w:rPr>
          <w:lang w:val="en-US"/>
        </w:rPr>
        <w:t>whose status in Wave 5 remains unknown (</w:t>
      </w:r>
      <w:r w:rsidRPr="003D6532">
        <w:rPr>
          <w:lang w:val="en-US"/>
        </w:rPr>
        <w:fldChar w:fldCharType="begin"/>
      </w:r>
      <w:r w:rsidRPr="003D6532">
        <w:rPr>
          <w:lang w:val="en-US"/>
        </w:rPr>
        <w:instrText xml:space="preserve"> REF _Ref476736368 \h </w:instrText>
      </w:r>
      <w:r w:rsidRPr="003D6532">
        <w:rPr>
          <w:lang w:val="en-US"/>
        </w:rPr>
      </w:r>
      <w:r w:rsidRPr="003D6532">
        <w:rPr>
          <w:lang w:val="en-US"/>
        </w:rPr>
        <w:fldChar w:fldCharType="separate"/>
      </w:r>
      <w:r w:rsidRPr="003D6532">
        <w:rPr>
          <w:lang w:val="en-US"/>
        </w:rPr>
        <w:t>Table 2</w:t>
      </w:r>
      <w:r w:rsidRPr="003D6532">
        <w:rPr>
          <w:lang w:val="en-US"/>
        </w:rPr>
        <w:fldChar w:fldCharType="end"/>
      </w:r>
      <w:r w:rsidRPr="003D6532">
        <w:rPr>
          <w:lang w:val="en-US"/>
        </w:rPr>
        <w:t xml:space="preserve">, third column). </w:t>
      </w:r>
      <w:r w:rsidRPr="003D6532">
        <w:rPr>
          <w:lang w:val="en-US"/>
        </w:rPr>
        <w:fldChar w:fldCharType="begin"/>
      </w:r>
      <w:r w:rsidRPr="003D6532">
        <w:rPr>
          <w:lang w:val="en-US"/>
        </w:rPr>
        <w:instrText xml:space="preserve"> REF _Ref476736368 \h </w:instrText>
      </w:r>
      <w:r w:rsidRPr="003D6532">
        <w:rPr>
          <w:lang w:val="en-US"/>
        </w:rPr>
      </w:r>
      <w:r w:rsidRPr="003D6532">
        <w:rPr>
          <w:lang w:val="en-US"/>
        </w:rPr>
        <w:fldChar w:fldCharType="separate"/>
      </w:r>
      <w:r w:rsidRPr="003D6532">
        <w:rPr>
          <w:lang w:val="en-US"/>
        </w:rPr>
        <w:t>Table 2</w:t>
      </w:r>
      <w:r w:rsidRPr="003D6532">
        <w:rPr>
          <w:lang w:val="en-US"/>
        </w:rPr>
        <w:fldChar w:fldCharType="end"/>
      </w:r>
      <w:r w:rsidRPr="003D6532">
        <w:rPr>
          <w:lang w:val="en-US"/>
        </w:rPr>
        <w:t xml:space="preserve"> </w:t>
      </w:r>
      <w:r>
        <w:rPr>
          <w:lang w:val="en-US"/>
        </w:rPr>
        <w:t>shows</w:t>
      </w:r>
      <w:r w:rsidRPr="003D6532">
        <w:rPr>
          <w:lang w:val="en-US"/>
        </w:rPr>
        <w:t xml:space="preserve"> that respondents in Wave 5 slightly over-represent those aspiring </w:t>
      </w:r>
      <w:r>
        <w:rPr>
          <w:lang w:val="en-US"/>
        </w:rPr>
        <w:t xml:space="preserve">to take the </w:t>
      </w:r>
      <w:r w:rsidRPr="003D6532">
        <w:rPr>
          <w:lang w:val="en-US"/>
        </w:rPr>
        <w:t xml:space="preserve">academic pathway and correspondingly under-represent those aspiring </w:t>
      </w:r>
      <w:r>
        <w:rPr>
          <w:lang w:val="en-US"/>
        </w:rPr>
        <w:t xml:space="preserve">to take the </w:t>
      </w:r>
      <w:r w:rsidRPr="003D6532">
        <w:rPr>
          <w:lang w:val="en-US"/>
        </w:rPr>
        <w:t xml:space="preserve">vocational pathway. It also shows that the share of students aspiring </w:t>
      </w:r>
      <w:r>
        <w:rPr>
          <w:lang w:val="en-US"/>
        </w:rPr>
        <w:t xml:space="preserve">to take the </w:t>
      </w:r>
      <w:r w:rsidRPr="003D6532">
        <w:rPr>
          <w:lang w:val="en-US"/>
        </w:rPr>
        <w:t xml:space="preserve">pseudo-academic pathway is also underestimated from non-missing cases in Wave 5. </w:t>
      </w:r>
      <w:r>
        <w:rPr>
          <w:lang w:val="en-US"/>
        </w:rPr>
        <w:t>Overall,</w:t>
      </w:r>
      <w:r w:rsidRPr="003D6532">
        <w:rPr>
          <w:lang w:val="en-US"/>
        </w:rPr>
        <w:t xml:space="preserve"> </w:t>
      </w:r>
      <w:r>
        <w:rPr>
          <w:lang w:val="en-US"/>
        </w:rPr>
        <w:t xml:space="preserve">these results </w:t>
      </w:r>
      <w:r w:rsidRPr="003D6532">
        <w:rPr>
          <w:lang w:val="en-US"/>
        </w:rPr>
        <w:t xml:space="preserve">suggest that the true distribution of real educational pathways might indeed be slightly different from the one reported in the first column of </w:t>
      </w:r>
      <w:r w:rsidRPr="003D6532">
        <w:rPr>
          <w:lang w:val="en-US"/>
        </w:rPr>
        <w:fldChar w:fldCharType="begin"/>
      </w:r>
      <w:r w:rsidRPr="003D6532">
        <w:rPr>
          <w:lang w:val="en-US"/>
        </w:rPr>
        <w:instrText xml:space="preserve"> REF _Ref476736368 \h </w:instrText>
      </w:r>
      <w:r w:rsidRPr="003D6532">
        <w:rPr>
          <w:lang w:val="en-US"/>
        </w:rPr>
      </w:r>
      <w:r w:rsidRPr="003D6532">
        <w:rPr>
          <w:lang w:val="en-US"/>
        </w:rPr>
        <w:fldChar w:fldCharType="separate"/>
      </w:r>
      <w:r w:rsidRPr="003D6532">
        <w:rPr>
          <w:lang w:val="en-US"/>
        </w:rPr>
        <w:t>Table 2</w:t>
      </w:r>
      <w:r w:rsidRPr="003D6532">
        <w:rPr>
          <w:lang w:val="en-US"/>
        </w:rPr>
        <w:fldChar w:fldCharType="end"/>
      </w:r>
      <w:r w:rsidRPr="003D6532">
        <w:rPr>
          <w:lang w:val="en-US"/>
        </w:rPr>
        <w:t>, and as such</w:t>
      </w:r>
      <w:r>
        <w:rPr>
          <w:lang w:val="en-US"/>
        </w:rPr>
        <w:t>,</w:t>
      </w:r>
      <w:r w:rsidRPr="003D6532">
        <w:rPr>
          <w:lang w:val="en-US"/>
        </w:rPr>
        <w:t xml:space="preserve"> sample attrition bias is likely. To inspect whether attrition affects the substantive findings, we provide robustness checks of our core results in Section 5.3. </w:t>
      </w:r>
    </w:p>
    <w:p w14:paraId="0FB167C1" w14:textId="77777777" w:rsidR="00CD1FC2" w:rsidRPr="003D6532" w:rsidRDefault="00CD1FC2" w:rsidP="00612ABE">
      <w:pPr>
        <w:rPr>
          <w:lang w:val="en-US"/>
        </w:rPr>
      </w:pPr>
    </w:p>
    <w:p w14:paraId="371B84E6" w14:textId="188B1EA8" w:rsidR="00CD1FC2" w:rsidRPr="003D6532" w:rsidRDefault="00CD1FC2" w:rsidP="000E1F74">
      <w:pPr>
        <w:pStyle w:val="Heading2"/>
        <w:rPr>
          <w:lang w:val="en-US"/>
        </w:rPr>
      </w:pPr>
      <w:r w:rsidRPr="003D6532">
        <w:rPr>
          <w:lang w:val="en-US"/>
        </w:rPr>
        <w:lastRenderedPageBreak/>
        <w:t>5.1 Alternative pathways to higher education and social mobility</w:t>
      </w:r>
    </w:p>
    <w:p w14:paraId="23E6117C" w14:textId="11694C67" w:rsidR="00CD1FC2" w:rsidRPr="003D6532" w:rsidRDefault="00CD1FC2" w:rsidP="009F4932">
      <w:pPr>
        <w:rPr>
          <w:color w:val="000000" w:themeColor="text1"/>
          <w:lang w:val="en-US"/>
        </w:rPr>
      </w:pPr>
      <w:r w:rsidRPr="003D6532">
        <w:rPr>
          <w:lang w:val="en-US"/>
        </w:rPr>
        <w:t xml:space="preserve">To test our </w:t>
      </w:r>
      <w:r w:rsidRPr="003D6532">
        <w:rPr>
          <w:i/>
          <w:lang w:val="en-US"/>
        </w:rPr>
        <w:t xml:space="preserve">social mobility hypotheses I </w:t>
      </w:r>
      <w:r w:rsidRPr="003D6532">
        <w:rPr>
          <w:lang w:val="en-US"/>
        </w:rPr>
        <w:t>and</w:t>
      </w:r>
      <w:r w:rsidRPr="003D6532">
        <w:rPr>
          <w:i/>
          <w:lang w:val="en-US"/>
        </w:rPr>
        <w:t xml:space="preserve"> II</w:t>
      </w:r>
      <w:r w:rsidRPr="003D6532">
        <w:rPr>
          <w:lang w:val="en-US"/>
        </w:rPr>
        <w:t>, we model educational pathways as a probability function of scholastic ability, social background and the set of controls. At this stage, we assume only that scholastic ability and social background both independently contribute to the likelihood of different outcomes. We consider a set of 5 mutually exclusive outcomes: i.e.</w:t>
      </w:r>
      <w:r>
        <w:rPr>
          <w:lang w:val="en-US"/>
        </w:rPr>
        <w:t>,</w:t>
      </w:r>
      <w:r w:rsidRPr="003D6532">
        <w:rPr>
          <w:lang w:val="en-US"/>
        </w:rPr>
        <w:t xml:space="preserve"> </w:t>
      </w:r>
      <w:r>
        <w:rPr>
          <w:lang w:val="en-US"/>
        </w:rPr>
        <w:t xml:space="preserve">the </w:t>
      </w:r>
      <w:r w:rsidRPr="003D6532">
        <w:rPr>
          <w:lang w:val="en-US"/>
        </w:rPr>
        <w:t>four classes of pathways described above plus the status of non-response in Wave 5. We model non-responses as a separate outcome rather than dropping them from our analysis</w:t>
      </w:r>
      <w:r>
        <w:rPr>
          <w:lang w:val="en-US"/>
        </w:rPr>
        <w:t xml:space="preserve"> to </w:t>
      </w:r>
      <w:r w:rsidRPr="003D6532">
        <w:rPr>
          <w:lang w:val="en-US"/>
        </w:rPr>
        <w:t xml:space="preserve">increase the statistical power of our tests and preserve the original TIMSS sample structure. Since we do not assume any implicit ordering of the outcomes, we estimate models using </w:t>
      </w:r>
      <w:r>
        <w:rPr>
          <w:lang w:val="en-US"/>
        </w:rPr>
        <w:t xml:space="preserve">the </w:t>
      </w:r>
      <w:r w:rsidRPr="003D6532">
        <w:rPr>
          <w:lang w:val="en-US"/>
        </w:rPr>
        <w:t xml:space="preserve">less restrictive multinomial </w:t>
      </w:r>
      <w:r w:rsidRPr="003D6532">
        <w:rPr>
          <w:color w:val="000000" w:themeColor="text1"/>
          <w:lang w:val="en-US"/>
        </w:rPr>
        <w:t xml:space="preserve">logistic regression. </w:t>
      </w:r>
    </w:p>
    <w:p w14:paraId="4C3988A1" w14:textId="0C85753A" w:rsidR="00CD1FC2" w:rsidRPr="003D6532" w:rsidRDefault="00CD1FC2" w:rsidP="008005FF">
      <w:pPr>
        <w:rPr>
          <w:lang w:val="en-US"/>
        </w:rPr>
      </w:pPr>
      <w:r w:rsidRPr="003D6532">
        <w:rPr>
          <w:lang w:val="en-US"/>
        </w:rPr>
        <w:fldChar w:fldCharType="begin"/>
      </w:r>
      <w:r w:rsidRPr="003D6532">
        <w:rPr>
          <w:lang w:val="en-US"/>
        </w:rPr>
        <w:instrText xml:space="preserve"> REF _Ref475720232 </w:instrText>
      </w:r>
      <w:r w:rsidRPr="003D6532">
        <w:rPr>
          <w:lang w:val="en-US"/>
        </w:rPr>
        <w:fldChar w:fldCharType="separate"/>
      </w:r>
      <w:r w:rsidRPr="003D6532">
        <w:rPr>
          <w:lang w:val="en-US"/>
        </w:rPr>
        <w:t>Figure 2</w:t>
      </w:r>
      <w:r w:rsidRPr="003D6532">
        <w:rPr>
          <w:lang w:val="en-US"/>
        </w:rPr>
        <w:fldChar w:fldCharType="end"/>
      </w:r>
      <w:r w:rsidRPr="003D6532">
        <w:rPr>
          <w:lang w:val="en-US"/>
        </w:rPr>
        <w:t xml:space="preserve"> presents a grid of graphs illustrating how the probability of following a given pathway (vertical axis) responds to the change in students</w:t>
      </w:r>
      <w:r>
        <w:rPr>
          <w:lang w:val="en-US"/>
        </w:rPr>
        <w:t>’</w:t>
      </w:r>
      <w:r w:rsidRPr="003D6532">
        <w:rPr>
          <w:lang w:val="en-US"/>
        </w:rPr>
        <w:t xml:space="preserve"> scholastic ability (horizontal axis) and social background (two decorated lines). Each row in the grid corresponds to results from a single model employing a specific ability measure, and each column corresponds to </w:t>
      </w:r>
      <w:r>
        <w:rPr>
          <w:lang w:val="en-US"/>
        </w:rPr>
        <w:t xml:space="preserve">a </w:t>
      </w:r>
      <w:r w:rsidRPr="003D6532">
        <w:rPr>
          <w:lang w:val="en-US"/>
        </w:rPr>
        <w:t xml:space="preserve">specific pathway (for convenience, we suppress other pathways and non-response). </w:t>
      </w:r>
      <w:r w:rsidRPr="003D6532">
        <w:rPr>
          <w:color w:val="000000" w:themeColor="text1"/>
          <w:lang w:val="en-US"/>
        </w:rPr>
        <w:t>All estimated models are explicated in Table A.1 in Appendix.</w:t>
      </w:r>
    </w:p>
    <w:p w14:paraId="563B665F" w14:textId="77777777" w:rsidR="00CD1FC2" w:rsidRPr="003D6532" w:rsidRDefault="00CD1FC2" w:rsidP="001A33BA">
      <w:pPr>
        <w:rPr>
          <w:lang w:val="en-US"/>
        </w:rPr>
      </w:pPr>
    </w:p>
    <w:p w14:paraId="3FD33B34" w14:textId="77777777" w:rsidR="00CD1FC2" w:rsidRPr="003D6532" w:rsidRDefault="00CD1FC2" w:rsidP="00DE50CE">
      <w:pPr>
        <w:pStyle w:val="Caption"/>
        <w:rPr>
          <w:lang w:val="en-US"/>
        </w:rPr>
      </w:pPr>
      <w:bookmarkStart w:id="7" w:name="_Ref475720232"/>
      <w:r w:rsidRPr="003D6532">
        <w:rPr>
          <w:lang w:val="en-US"/>
        </w:rPr>
        <w:t xml:space="preserve">Figure </w:t>
      </w:r>
      <w:r w:rsidRPr="003D6532">
        <w:rPr>
          <w:lang w:val="en-US"/>
        </w:rPr>
        <w:fldChar w:fldCharType="begin"/>
      </w:r>
      <w:r w:rsidRPr="003D6532">
        <w:rPr>
          <w:lang w:val="en-US"/>
        </w:rPr>
        <w:instrText xml:space="preserve"> SEQ Figure \* ARABIC </w:instrText>
      </w:r>
      <w:r w:rsidRPr="003D6532">
        <w:rPr>
          <w:lang w:val="en-US"/>
        </w:rPr>
        <w:fldChar w:fldCharType="separate"/>
      </w:r>
      <w:r w:rsidRPr="003D6532">
        <w:rPr>
          <w:lang w:val="en-US"/>
        </w:rPr>
        <w:t>2</w:t>
      </w:r>
      <w:r w:rsidRPr="003D6532">
        <w:rPr>
          <w:lang w:val="en-US"/>
        </w:rPr>
        <w:fldChar w:fldCharType="end"/>
      </w:r>
      <w:bookmarkEnd w:id="7"/>
      <w:r w:rsidRPr="003D6532">
        <w:rPr>
          <w:lang w:val="en-US"/>
        </w:rPr>
        <w:t xml:space="preserve"> about here</w:t>
      </w:r>
    </w:p>
    <w:p w14:paraId="25931AED" w14:textId="77777777" w:rsidR="00CD1FC2" w:rsidRPr="003D6532" w:rsidRDefault="00CD1FC2" w:rsidP="001A33BA">
      <w:pPr>
        <w:rPr>
          <w:lang w:val="en-US"/>
        </w:rPr>
      </w:pPr>
    </w:p>
    <w:p w14:paraId="177CB231" w14:textId="76EEFA99" w:rsidR="00CD1FC2" w:rsidRPr="003D6532" w:rsidRDefault="00CD1FC2" w:rsidP="006A6162">
      <w:pPr>
        <w:rPr>
          <w:lang w:val="en-US"/>
        </w:rPr>
      </w:pPr>
      <w:r w:rsidRPr="003D6532">
        <w:rPr>
          <w:lang w:val="en-US"/>
        </w:rPr>
        <w:t xml:space="preserve">The graphs unambiguously indicate that selection into </w:t>
      </w:r>
      <w:r>
        <w:rPr>
          <w:lang w:val="en-US"/>
        </w:rPr>
        <w:t xml:space="preserve">the </w:t>
      </w:r>
      <w:r w:rsidRPr="003D6532">
        <w:rPr>
          <w:lang w:val="en-US"/>
        </w:rPr>
        <w:t xml:space="preserve">academic pathway is strictly positive with regard to ability, whereas selection into </w:t>
      </w:r>
      <w:r>
        <w:rPr>
          <w:lang w:val="en-US"/>
        </w:rPr>
        <w:t xml:space="preserve">the </w:t>
      </w:r>
      <w:r w:rsidRPr="003D6532">
        <w:rPr>
          <w:lang w:val="en-US"/>
        </w:rPr>
        <w:t>vocational pathway is strictly negative. The relationship between ability and the probability of each of these traditional pathways is statistically significant and is observed for each given ability measure, confirming that this is not a chance result. However, ability-driven selection is certainly not strong enough to completely attenuate the role of social background: e.g.</w:t>
      </w:r>
      <w:r>
        <w:rPr>
          <w:lang w:val="en-US"/>
        </w:rPr>
        <w:t>,</w:t>
      </w:r>
      <w:r w:rsidRPr="003D6532">
        <w:rPr>
          <w:lang w:val="en-US"/>
        </w:rPr>
        <w:t xml:space="preserve"> for any given level of ability</w:t>
      </w:r>
      <w:r>
        <w:rPr>
          <w:lang w:val="en-US"/>
        </w:rPr>
        <w:t>,</w:t>
      </w:r>
      <w:r w:rsidRPr="003D6532">
        <w:rPr>
          <w:lang w:val="en-US"/>
        </w:rPr>
        <w:t xml:space="preserve"> the probability of taking </w:t>
      </w:r>
      <w:r>
        <w:rPr>
          <w:lang w:val="en-US"/>
        </w:rPr>
        <w:t xml:space="preserve">the </w:t>
      </w:r>
      <w:r w:rsidRPr="003D6532">
        <w:rPr>
          <w:lang w:val="en-US"/>
        </w:rPr>
        <w:t xml:space="preserve">academic pathway is higher for children from more </w:t>
      </w:r>
      <w:r w:rsidRPr="003D6532">
        <w:rPr>
          <w:lang w:val="en-US"/>
        </w:rPr>
        <w:lastRenderedPageBreak/>
        <w:t xml:space="preserve">advantaged social backgrounds </w:t>
      </w:r>
      <w:r>
        <w:rPr>
          <w:lang w:val="en-US"/>
        </w:rPr>
        <w:t xml:space="preserve">than for </w:t>
      </w:r>
      <w:r w:rsidRPr="003D6532">
        <w:rPr>
          <w:lang w:val="en-US"/>
        </w:rPr>
        <w:t xml:space="preserve">children from less advantaged social backgrounds (the vertical distance between the lines in </w:t>
      </w:r>
      <w:r>
        <w:rPr>
          <w:lang w:val="en-US"/>
        </w:rPr>
        <w:t xml:space="preserve">the </w:t>
      </w:r>
      <w:r w:rsidRPr="003D6532">
        <w:rPr>
          <w:lang w:val="en-US"/>
        </w:rPr>
        <w:t>graphs). Thus, secondary effects of social background also remain at work.</w:t>
      </w:r>
    </w:p>
    <w:p w14:paraId="25CCCF34" w14:textId="1DFE917C" w:rsidR="00CD1FC2" w:rsidRPr="003D6532" w:rsidRDefault="00CD1FC2" w:rsidP="00014F16">
      <w:pPr>
        <w:rPr>
          <w:lang w:val="en-US"/>
        </w:rPr>
      </w:pPr>
      <w:r w:rsidRPr="003D6532">
        <w:rPr>
          <w:lang w:val="en-US"/>
        </w:rPr>
        <w:t xml:space="preserve">Looking at </w:t>
      </w:r>
      <w:r>
        <w:rPr>
          <w:lang w:val="en-US"/>
        </w:rPr>
        <w:t xml:space="preserve">the </w:t>
      </w:r>
      <w:r w:rsidRPr="003D6532">
        <w:rPr>
          <w:lang w:val="en-US"/>
        </w:rPr>
        <w:t xml:space="preserve">pseudo-academic pathway, we find that social background disparities not only </w:t>
      </w:r>
      <w:r>
        <w:rPr>
          <w:lang w:val="en-US"/>
        </w:rPr>
        <w:t xml:space="preserve">are </w:t>
      </w:r>
      <w:r w:rsidRPr="003D6532">
        <w:rPr>
          <w:lang w:val="en-US"/>
        </w:rPr>
        <w:t xml:space="preserve">much smaller </w:t>
      </w:r>
      <w:r>
        <w:rPr>
          <w:lang w:val="en-US"/>
        </w:rPr>
        <w:t xml:space="preserve">than </w:t>
      </w:r>
      <w:r w:rsidRPr="003D6532">
        <w:rPr>
          <w:lang w:val="en-US"/>
        </w:rPr>
        <w:t xml:space="preserve">traditional pathways after </w:t>
      </w:r>
      <w:r>
        <w:rPr>
          <w:lang w:val="en-US"/>
        </w:rPr>
        <w:t xml:space="preserve">we </w:t>
      </w:r>
      <w:r w:rsidRPr="003D6532">
        <w:rPr>
          <w:lang w:val="en-US"/>
        </w:rPr>
        <w:t>control for ability</w:t>
      </w:r>
      <w:r>
        <w:rPr>
          <w:lang w:val="en-US"/>
        </w:rPr>
        <w:t xml:space="preserve"> </w:t>
      </w:r>
      <w:r w:rsidRPr="003D6532">
        <w:rPr>
          <w:lang w:val="en-US"/>
        </w:rPr>
        <w:t xml:space="preserve">but also are almost indistinguishable here. This result conforms to our </w:t>
      </w:r>
      <w:r w:rsidRPr="003D6532">
        <w:rPr>
          <w:i/>
          <w:lang w:val="en-US"/>
        </w:rPr>
        <w:t>social mobility hypothesis I</w:t>
      </w:r>
      <w:r w:rsidRPr="003D6532">
        <w:rPr>
          <w:lang w:val="en-US"/>
        </w:rPr>
        <w:t xml:space="preserve">, </w:t>
      </w:r>
      <w:r>
        <w:rPr>
          <w:lang w:val="en-US"/>
        </w:rPr>
        <w:t xml:space="preserve">which </w:t>
      </w:r>
      <w:r w:rsidRPr="003D6532">
        <w:rPr>
          <w:lang w:val="en-US"/>
        </w:rPr>
        <w:t>predict</w:t>
      </w:r>
      <w:r>
        <w:rPr>
          <w:lang w:val="en-US"/>
        </w:rPr>
        <w:t>s</w:t>
      </w:r>
      <w:r w:rsidRPr="003D6532">
        <w:rPr>
          <w:lang w:val="en-US"/>
        </w:rPr>
        <w:t xml:space="preserve"> the smallest social gap </w:t>
      </w:r>
      <w:r>
        <w:rPr>
          <w:lang w:val="en-US"/>
        </w:rPr>
        <w:t xml:space="preserve">for the </w:t>
      </w:r>
      <w:r w:rsidRPr="003D6532">
        <w:rPr>
          <w:lang w:val="en-US"/>
        </w:rPr>
        <w:t xml:space="preserve">pseudo-academic pathway. </w:t>
      </w:r>
      <w:r w:rsidRPr="003D6532">
        <w:rPr>
          <w:lang w:val="en-US"/>
        </w:rPr>
        <w:fldChar w:fldCharType="begin"/>
      </w:r>
      <w:r w:rsidRPr="003D6532">
        <w:rPr>
          <w:lang w:val="en-US"/>
        </w:rPr>
        <w:instrText xml:space="preserve"> REF _Ref475720232 </w:instrText>
      </w:r>
      <w:r w:rsidRPr="003D6532">
        <w:rPr>
          <w:lang w:val="en-US"/>
        </w:rPr>
        <w:fldChar w:fldCharType="separate"/>
      </w:r>
      <w:r w:rsidRPr="003D6532">
        <w:rPr>
          <w:lang w:val="en-US"/>
        </w:rPr>
        <w:t>Figure 2</w:t>
      </w:r>
      <w:r w:rsidRPr="003D6532">
        <w:rPr>
          <w:lang w:val="en-US"/>
        </w:rPr>
        <w:fldChar w:fldCharType="end"/>
      </w:r>
      <w:r w:rsidRPr="003D6532">
        <w:rPr>
          <w:lang w:val="en-US"/>
        </w:rPr>
        <w:t xml:space="preserve"> also unambiguously corroborates our </w:t>
      </w:r>
      <w:r w:rsidRPr="003D6532">
        <w:rPr>
          <w:i/>
          <w:lang w:val="en-US"/>
        </w:rPr>
        <w:t>social mobility hypothesis II</w:t>
      </w:r>
      <w:r w:rsidRPr="003D6532">
        <w:rPr>
          <w:lang w:val="en-US"/>
        </w:rPr>
        <w:t xml:space="preserve">, </w:t>
      </w:r>
      <w:r>
        <w:rPr>
          <w:lang w:val="en-US"/>
        </w:rPr>
        <w:t xml:space="preserve">which </w:t>
      </w:r>
      <w:r w:rsidRPr="003D6532">
        <w:rPr>
          <w:lang w:val="en-US"/>
        </w:rPr>
        <w:t>predict</w:t>
      </w:r>
      <w:r>
        <w:rPr>
          <w:lang w:val="en-US"/>
        </w:rPr>
        <w:t>s</w:t>
      </w:r>
      <w:r w:rsidRPr="003D6532">
        <w:rPr>
          <w:lang w:val="en-US"/>
        </w:rPr>
        <w:t xml:space="preserve"> lower selectivity with respect to ability for </w:t>
      </w:r>
      <w:r>
        <w:rPr>
          <w:lang w:val="en-US"/>
        </w:rPr>
        <w:t xml:space="preserve">the </w:t>
      </w:r>
      <w:r w:rsidRPr="003D6532">
        <w:rPr>
          <w:lang w:val="en-US"/>
        </w:rPr>
        <w:t xml:space="preserve">pseudo-academic pathway: although there are some weak signs of negative selection (as picked up from the slopes in </w:t>
      </w:r>
      <w:r>
        <w:rPr>
          <w:lang w:val="en-US"/>
        </w:rPr>
        <w:t xml:space="preserve">the </w:t>
      </w:r>
      <w:r w:rsidRPr="003D6532">
        <w:rPr>
          <w:lang w:val="en-US"/>
        </w:rPr>
        <w:t xml:space="preserve">corresponding graphs), the relationship is by far less pronounced than it is with </w:t>
      </w:r>
      <w:r>
        <w:rPr>
          <w:lang w:val="en-US"/>
        </w:rPr>
        <w:t xml:space="preserve">the </w:t>
      </w:r>
      <w:r w:rsidRPr="003D6532">
        <w:rPr>
          <w:lang w:val="en-US"/>
        </w:rPr>
        <w:t>academic and vocational pathways. In sum, our results suggest that the pseudo-academic pathway could indeed facilitate social mobility by reducing both primary and secondary effects of social background in access to higher education.</w:t>
      </w:r>
    </w:p>
    <w:p w14:paraId="030DD7D4" w14:textId="77777777" w:rsidR="00CD1FC2" w:rsidRPr="003D6532" w:rsidRDefault="00CD1FC2" w:rsidP="00014F16">
      <w:pPr>
        <w:rPr>
          <w:lang w:val="en-US"/>
        </w:rPr>
      </w:pPr>
    </w:p>
    <w:p w14:paraId="7F1D8000" w14:textId="1104F9E1" w:rsidR="00CD1FC2" w:rsidRPr="003D6532" w:rsidRDefault="00CD1FC2" w:rsidP="00431C00">
      <w:pPr>
        <w:pStyle w:val="Heading2"/>
        <w:rPr>
          <w:lang w:val="en-US"/>
        </w:rPr>
      </w:pPr>
      <w:r w:rsidRPr="003D6532">
        <w:rPr>
          <w:lang w:val="en-US"/>
        </w:rPr>
        <w:t>5.2 Alternative pathways to higher education and social reproduction</w:t>
      </w:r>
    </w:p>
    <w:p w14:paraId="5E6996B7" w14:textId="407DD439" w:rsidR="00CD1FC2" w:rsidRPr="003D6532" w:rsidRDefault="00CD1FC2" w:rsidP="00B87C7C">
      <w:pPr>
        <w:rPr>
          <w:color w:val="000000" w:themeColor="text1"/>
          <w:lang w:val="en-US"/>
        </w:rPr>
      </w:pPr>
      <w:r w:rsidRPr="003D6532">
        <w:rPr>
          <w:lang w:val="en-US"/>
        </w:rPr>
        <w:t xml:space="preserve">Drawing from the </w:t>
      </w:r>
      <w:r>
        <w:rPr>
          <w:lang w:val="en-US"/>
        </w:rPr>
        <w:t xml:space="preserve">CA </w:t>
      </w:r>
      <w:r w:rsidRPr="003D6532">
        <w:rPr>
          <w:lang w:val="en-US"/>
        </w:rPr>
        <w:t xml:space="preserve">theory, our </w:t>
      </w:r>
      <w:r w:rsidRPr="003D6532">
        <w:rPr>
          <w:i/>
          <w:lang w:val="en-US"/>
        </w:rPr>
        <w:t>social reproduction hypothesis I</w:t>
      </w:r>
      <w:r w:rsidRPr="003D6532">
        <w:rPr>
          <w:lang w:val="en-US"/>
        </w:rPr>
        <w:t xml:space="preserve"> posit</w:t>
      </w:r>
      <w:r>
        <w:rPr>
          <w:lang w:val="en-US"/>
        </w:rPr>
        <w:t>s</w:t>
      </w:r>
      <w:r w:rsidRPr="003D6532">
        <w:rPr>
          <w:lang w:val="en-US"/>
        </w:rPr>
        <w:t xml:space="preserve"> that social disparities in access to higher education should be negatively associated with levels of academic performance. To test this, we model the probability of successful transition to higher education as a function of ability, social background and their interaction. </w:t>
      </w:r>
      <w:r>
        <w:rPr>
          <w:lang w:val="en-US"/>
        </w:rPr>
        <w:t xml:space="preserve">To </w:t>
      </w:r>
      <w:r w:rsidRPr="003D6532">
        <w:rPr>
          <w:lang w:val="en-US"/>
        </w:rPr>
        <w:t xml:space="preserve">enable </w:t>
      </w:r>
      <w:r>
        <w:rPr>
          <w:lang w:val="en-US"/>
        </w:rPr>
        <w:t xml:space="preserve">a </w:t>
      </w:r>
      <w:r w:rsidRPr="003D6532">
        <w:rPr>
          <w:lang w:val="en-US"/>
        </w:rPr>
        <w:t xml:space="preserve">more intuitive interpretation of our results, we estimate linear probability models, in which the dependent variable is a binary indicator coded as 1 for all traditional and alternative pathways to higher education and 0 for all other transitions. In this step, non-responses in Wave 5 </w:t>
      </w:r>
      <w:r>
        <w:rPr>
          <w:lang w:val="en-US"/>
        </w:rPr>
        <w:t xml:space="preserve">are </w:t>
      </w:r>
      <w:r w:rsidRPr="003D6532">
        <w:rPr>
          <w:lang w:val="en-US"/>
        </w:rPr>
        <w:t xml:space="preserve">excluded from </w:t>
      </w:r>
      <w:r>
        <w:rPr>
          <w:lang w:val="en-US"/>
        </w:rPr>
        <w:t xml:space="preserve">the </w:t>
      </w:r>
      <w:r w:rsidRPr="003D6532">
        <w:rPr>
          <w:lang w:val="en-US"/>
        </w:rPr>
        <w:t>analyses</w:t>
      </w:r>
      <w:r>
        <w:rPr>
          <w:lang w:val="en-US"/>
        </w:rPr>
        <w:t xml:space="preserve"> </w:t>
      </w:r>
      <w:r w:rsidRPr="003D6532">
        <w:rPr>
          <w:lang w:val="en-US"/>
        </w:rPr>
        <w:t>because they cannot be modeled as a separate outcome with this strategy.</w:t>
      </w:r>
    </w:p>
    <w:p w14:paraId="17847D72" w14:textId="4251ECD9" w:rsidR="00CD1FC2" w:rsidRPr="003D6532" w:rsidRDefault="00CD1FC2" w:rsidP="00D622BF">
      <w:pPr>
        <w:rPr>
          <w:lang w:val="en-US"/>
        </w:rPr>
      </w:pPr>
      <w:r w:rsidRPr="003D6532">
        <w:rPr>
          <w:color w:val="000000" w:themeColor="text1"/>
          <w:lang w:val="en-US"/>
        </w:rPr>
        <w:lastRenderedPageBreak/>
        <w:t xml:space="preserve">The graphs on the left side of </w:t>
      </w:r>
      <w:r w:rsidRPr="003D6532">
        <w:rPr>
          <w:color w:val="000000" w:themeColor="text1"/>
          <w:lang w:val="en-US"/>
        </w:rPr>
        <w:fldChar w:fldCharType="begin"/>
      </w:r>
      <w:r w:rsidRPr="003D6532">
        <w:rPr>
          <w:color w:val="000000" w:themeColor="text1"/>
          <w:lang w:val="en-US"/>
        </w:rPr>
        <w:instrText xml:space="preserve"> REF _Ref475807937 \h </w:instrText>
      </w:r>
      <w:r w:rsidRPr="003D6532">
        <w:rPr>
          <w:color w:val="000000" w:themeColor="text1"/>
          <w:lang w:val="en-US"/>
        </w:rPr>
      </w:r>
      <w:r w:rsidRPr="003D6532">
        <w:rPr>
          <w:color w:val="000000" w:themeColor="text1"/>
          <w:lang w:val="en-US"/>
        </w:rPr>
        <w:fldChar w:fldCharType="separate"/>
      </w:r>
      <w:r w:rsidRPr="003D6532">
        <w:rPr>
          <w:color w:val="000000" w:themeColor="text1"/>
          <w:lang w:val="en-US"/>
        </w:rPr>
        <w:t>Figure 3</w:t>
      </w:r>
      <w:r w:rsidRPr="003D6532">
        <w:rPr>
          <w:color w:val="000000" w:themeColor="text1"/>
          <w:lang w:val="en-US"/>
        </w:rPr>
        <w:fldChar w:fldCharType="end"/>
      </w:r>
      <w:r w:rsidRPr="003D6532">
        <w:rPr>
          <w:color w:val="000000" w:themeColor="text1"/>
          <w:lang w:val="en-US"/>
        </w:rPr>
        <w:t xml:space="preserve"> display the relationship (estimated models are available in Table A.2 in Appendix). </w:t>
      </w:r>
      <w:r w:rsidRPr="003D6532">
        <w:rPr>
          <w:lang w:val="en-US"/>
        </w:rPr>
        <w:t xml:space="preserve">We find that in each of the models employing PISA measures, including the composite measure of ability, the gap due to social background increases in the lower part of </w:t>
      </w:r>
      <w:r>
        <w:rPr>
          <w:lang w:val="en-US"/>
        </w:rPr>
        <w:t xml:space="preserve">the </w:t>
      </w:r>
      <w:r w:rsidRPr="003D6532">
        <w:rPr>
          <w:lang w:val="en-US"/>
        </w:rPr>
        <w:t xml:space="preserve">ability distribution </w:t>
      </w:r>
      <w:r w:rsidRPr="003D6532">
        <w:rPr>
          <w:color w:val="000000" w:themeColor="text1"/>
          <w:lang w:val="en-US"/>
        </w:rPr>
        <w:t>(represented by the vertical distance between the lines)</w:t>
      </w:r>
      <w:r w:rsidRPr="003D6532">
        <w:rPr>
          <w:lang w:val="en-US"/>
        </w:rPr>
        <w:t xml:space="preserve">. In other words, we find an increasing social gap when scholastic ability </w:t>
      </w:r>
      <w:r>
        <w:rPr>
          <w:lang w:val="en-US"/>
        </w:rPr>
        <w:t>decreases</w:t>
      </w:r>
      <w:r w:rsidRPr="003D6532">
        <w:rPr>
          <w:lang w:val="en-US"/>
        </w:rPr>
        <w:t>. This relationship is statistically significant (see Table A.2 for formal test)</w:t>
      </w:r>
      <w:r>
        <w:rPr>
          <w:lang w:val="en-US"/>
        </w:rPr>
        <w:t xml:space="preserve"> in all models</w:t>
      </w:r>
      <w:r w:rsidRPr="003D6532">
        <w:rPr>
          <w:lang w:val="en-US"/>
        </w:rPr>
        <w:t xml:space="preserve"> except the models employing TIMSS measures. We will engage with this inconsistency in the last sub-section. For now, we may conclude that </w:t>
      </w:r>
      <w:r w:rsidRPr="003D6532">
        <w:rPr>
          <w:i/>
          <w:lang w:val="en-US"/>
        </w:rPr>
        <w:t>social reproduction hypothesis I</w:t>
      </w:r>
      <w:r w:rsidRPr="003D6532">
        <w:rPr>
          <w:lang w:val="en-US"/>
        </w:rPr>
        <w:t xml:space="preserve"> is at least partly corroborated </w:t>
      </w:r>
      <w:r>
        <w:rPr>
          <w:lang w:val="en-US"/>
        </w:rPr>
        <w:t xml:space="preserve">by the </w:t>
      </w:r>
      <w:r w:rsidRPr="003D6532">
        <w:rPr>
          <w:lang w:val="en-US"/>
        </w:rPr>
        <w:t>evidence.</w:t>
      </w:r>
    </w:p>
    <w:p w14:paraId="62BEE59F" w14:textId="77777777" w:rsidR="00CD1FC2" w:rsidRPr="003D6532" w:rsidRDefault="00CD1FC2" w:rsidP="0009175C">
      <w:pPr>
        <w:rPr>
          <w:color w:val="000000" w:themeColor="text1"/>
          <w:lang w:val="en-US"/>
        </w:rPr>
      </w:pPr>
    </w:p>
    <w:p w14:paraId="405BAEF7" w14:textId="77777777" w:rsidR="00CD1FC2" w:rsidRPr="003D6532" w:rsidRDefault="00CD1FC2" w:rsidP="007E546B">
      <w:pPr>
        <w:pStyle w:val="Caption"/>
        <w:rPr>
          <w:lang w:val="en-US"/>
        </w:rPr>
      </w:pPr>
      <w:r w:rsidRPr="003D6532">
        <w:rPr>
          <w:lang w:val="en-US"/>
        </w:rPr>
        <w:t xml:space="preserve">Figure </w:t>
      </w:r>
      <w:r w:rsidRPr="003D6532">
        <w:rPr>
          <w:lang w:val="en-US"/>
        </w:rPr>
        <w:fldChar w:fldCharType="begin"/>
      </w:r>
      <w:r w:rsidRPr="003D6532">
        <w:rPr>
          <w:lang w:val="en-US"/>
        </w:rPr>
        <w:instrText xml:space="preserve"> SEQ Figure \* ARABIC </w:instrText>
      </w:r>
      <w:r w:rsidRPr="003D6532">
        <w:rPr>
          <w:lang w:val="en-US"/>
        </w:rPr>
        <w:fldChar w:fldCharType="separate"/>
      </w:r>
      <w:r w:rsidRPr="003D6532">
        <w:rPr>
          <w:lang w:val="en-US"/>
        </w:rPr>
        <w:t>3</w:t>
      </w:r>
      <w:r w:rsidRPr="003D6532">
        <w:rPr>
          <w:lang w:val="en-US"/>
        </w:rPr>
        <w:fldChar w:fldCharType="end"/>
      </w:r>
      <w:r w:rsidRPr="003D6532">
        <w:rPr>
          <w:lang w:val="en-US"/>
        </w:rPr>
        <w:t xml:space="preserve"> about here</w:t>
      </w:r>
    </w:p>
    <w:p w14:paraId="4DCA7AED" w14:textId="77777777" w:rsidR="00CD1FC2" w:rsidRPr="003D6532" w:rsidRDefault="00CD1FC2" w:rsidP="00B87C7C">
      <w:pPr>
        <w:rPr>
          <w:lang w:val="en-US"/>
        </w:rPr>
      </w:pPr>
    </w:p>
    <w:p w14:paraId="155BACA0" w14:textId="56F077FE" w:rsidR="00CD1FC2" w:rsidRPr="003D6532" w:rsidRDefault="00CD1FC2" w:rsidP="007E4C55">
      <w:pPr>
        <w:rPr>
          <w:lang w:val="en-US"/>
        </w:rPr>
      </w:pPr>
      <w:r w:rsidRPr="003D6532">
        <w:rPr>
          <w:lang w:val="en-US"/>
        </w:rPr>
        <w:t xml:space="preserve">To address </w:t>
      </w:r>
      <w:r w:rsidRPr="003D6532">
        <w:rPr>
          <w:i/>
          <w:color w:val="000000" w:themeColor="text1"/>
          <w:lang w:val="en-US"/>
        </w:rPr>
        <w:t>social reproduction hypothesis II</w:t>
      </w:r>
      <w:r>
        <w:rPr>
          <w:color w:val="000000" w:themeColor="text1"/>
          <w:lang w:val="en-US"/>
        </w:rPr>
        <w:t>,</w:t>
      </w:r>
      <w:r w:rsidRPr="003D6532">
        <w:rPr>
          <w:color w:val="000000" w:themeColor="text1"/>
          <w:lang w:val="en-US"/>
        </w:rPr>
        <w:t xml:space="preserve"> we estimate models </w:t>
      </w:r>
      <w:r>
        <w:rPr>
          <w:color w:val="000000" w:themeColor="text1"/>
          <w:lang w:val="en-US"/>
        </w:rPr>
        <w:t xml:space="preserve">that </w:t>
      </w:r>
      <w:r w:rsidRPr="003D6532">
        <w:rPr>
          <w:color w:val="000000" w:themeColor="text1"/>
          <w:lang w:val="en-US"/>
        </w:rPr>
        <w:t xml:space="preserve">are similar in structure to the ones we have used to model educational pathways in </w:t>
      </w:r>
      <w:r w:rsidRPr="003D6532">
        <w:rPr>
          <w:color w:val="000000" w:themeColor="text1"/>
          <w:lang w:val="en-US"/>
        </w:rPr>
        <w:fldChar w:fldCharType="begin"/>
      </w:r>
      <w:r w:rsidRPr="003D6532">
        <w:rPr>
          <w:color w:val="000000" w:themeColor="text1"/>
          <w:lang w:val="en-US"/>
        </w:rPr>
        <w:instrText xml:space="preserve"> REF _Ref475720232 \h </w:instrText>
      </w:r>
      <w:r w:rsidRPr="003D6532">
        <w:rPr>
          <w:color w:val="000000" w:themeColor="text1"/>
          <w:lang w:val="en-US"/>
        </w:rPr>
      </w:r>
      <w:r w:rsidRPr="003D6532">
        <w:rPr>
          <w:color w:val="000000" w:themeColor="text1"/>
          <w:lang w:val="en-US"/>
        </w:rPr>
        <w:fldChar w:fldCharType="separate"/>
      </w:r>
      <w:r w:rsidRPr="003D6532">
        <w:rPr>
          <w:lang w:val="en-US"/>
        </w:rPr>
        <w:t>Figure 2</w:t>
      </w:r>
      <w:r w:rsidRPr="003D6532">
        <w:rPr>
          <w:color w:val="000000" w:themeColor="text1"/>
          <w:lang w:val="en-US"/>
        </w:rPr>
        <w:fldChar w:fldCharType="end"/>
      </w:r>
      <w:r w:rsidRPr="003D6532">
        <w:rPr>
          <w:color w:val="000000" w:themeColor="text1"/>
          <w:lang w:val="en-US"/>
        </w:rPr>
        <w:t>, except for the interaction term, which now allows the effect of social background to vary along the levels of scholastic ability. Again, to visualize this relationship, we present our results in Figure 4 (estimated models are available in Table A.3 in Appendix)</w:t>
      </w:r>
      <w:r w:rsidRPr="003D6532">
        <w:rPr>
          <w:lang w:val="en-US"/>
        </w:rPr>
        <w:t>.</w:t>
      </w:r>
    </w:p>
    <w:p w14:paraId="78FA441F" w14:textId="77777777" w:rsidR="00CD1FC2" w:rsidRPr="003D6532" w:rsidRDefault="00CD1FC2" w:rsidP="006E241E">
      <w:pPr>
        <w:rPr>
          <w:lang w:val="en-US"/>
        </w:rPr>
      </w:pPr>
    </w:p>
    <w:p w14:paraId="34145CD6" w14:textId="77777777" w:rsidR="00CD1FC2" w:rsidRPr="003D6532" w:rsidRDefault="00CD1FC2" w:rsidP="009B3B9C">
      <w:pPr>
        <w:pStyle w:val="Caption"/>
        <w:rPr>
          <w:lang w:val="en-US"/>
        </w:rPr>
      </w:pPr>
      <w:bookmarkStart w:id="8" w:name="_Ref475886160"/>
      <w:r w:rsidRPr="003D6532">
        <w:rPr>
          <w:lang w:val="en-US"/>
        </w:rPr>
        <w:t xml:space="preserve">Figure </w:t>
      </w:r>
      <w:r w:rsidRPr="003D6532">
        <w:rPr>
          <w:lang w:val="en-US"/>
        </w:rPr>
        <w:fldChar w:fldCharType="begin"/>
      </w:r>
      <w:r w:rsidRPr="003D6532">
        <w:rPr>
          <w:lang w:val="en-US"/>
        </w:rPr>
        <w:instrText xml:space="preserve"> SEQ Figure \* ARABIC </w:instrText>
      </w:r>
      <w:r w:rsidRPr="003D6532">
        <w:rPr>
          <w:lang w:val="en-US"/>
        </w:rPr>
        <w:fldChar w:fldCharType="separate"/>
      </w:r>
      <w:r w:rsidRPr="003D6532">
        <w:rPr>
          <w:lang w:val="en-US"/>
        </w:rPr>
        <w:t>4</w:t>
      </w:r>
      <w:r w:rsidRPr="003D6532">
        <w:rPr>
          <w:lang w:val="en-US"/>
        </w:rPr>
        <w:fldChar w:fldCharType="end"/>
      </w:r>
      <w:bookmarkEnd w:id="8"/>
      <w:r w:rsidRPr="003D6532">
        <w:rPr>
          <w:lang w:val="en-US"/>
        </w:rPr>
        <w:t xml:space="preserve"> about here</w:t>
      </w:r>
    </w:p>
    <w:p w14:paraId="0C3A5616" w14:textId="77777777" w:rsidR="00CD1FC2" w:rsidRPr="003D6532" w:rsidRDefault="00CD1FC2" w:rsidP="0009175C">
      <w:pPr>
        <w:rPr>
          <w:lang w:val="en-US"/>
        </w:rPr>
      </w:pPr>
    </w:p>
    <w:p w14:paraId="35054363" w14:textId="7E614BB9" w:rsidR="00CD1FC2" w:rsidRPr="003D6532" w:rsidRDefault="00CD1FC2" w:rsidP="00ED22FE">
      <w:pPr>
        <w:rPr>
          <w:lang w:val="en-US"/>
        </w:rPr>
      </w:pPr>
      <w:r w:rsidRPr="003D6532">
        <w:rPr>
          <w:lang w:val="en-US"/>
        </w:rPr>
        <w:t xml:space="preserve">The patterns for </w:t>
      </w:r>
      <w:r>
        <w:rPr>
          <w:lang w:val="en-US"/>
        </w:rPr>
        <w:t xml:space="preserve">the </w:t>
      </w:r>
      <w:r w:rsidRPr="003D6532">
        <w:rPr>
          <w:lang w:val="en-US"/>
        </w:rPr>
        <w:t xml:space="preserve">academic and vocational pathways largely look identical to the ones observed in </w:t>
      </w:r>
      <w:r w:rsidRPr="003D6532">
        <w:rPr>
          <w:lang w:val="en-US"/>
        </w:rPr>
        <w:fldChar w:fldCharType="begin"/>
      </w:r>
      <w:r w:rsidRPr="003D6532">
        <w:rPr>
          <w:lang w:val="en-US"/>
        </w:rPr>
        <w:instrText xml:space="preserve"> REF _Ref475720232 \h </w:instrText>
      </w:r>
      <w:r w:rsidRPr="003D6532">
        <w:rPr>
          <w:lang w:val="en-US"/>
        </w:rPr>
      </w:r>
      <w:r w:rsidRPr="003D6532">
        <w:rPr>
          <w:lang w:val="en-US"/>
        </w:rPr>
        <w:fldChar w:fldCharType="separate"/>
      </w:r>
      <w:r w:rsidRPr="003D6532">
        <w:rPr>
          <w:lang w:val="en-US"/>
        </w:rPr>
        <w:t>Figure 2</w:t>
      </w:r>
      <w:r w:rsidRPr="003D6532">
        <w:rPr>
          <w:lang w:val="en-US"/>
        </w:rPr>
        <w:fldChar w:fldCharType="end"/>
      </w:r>
      <w:r w:rsidRPr="003D6532">
        <w:rPr>
          <w:lang w:val="en-US"/>
        </w:rPr>
        <w:t xml:space="preserve">. A peculiar difference is found, however, with regard to </w:t>
      </w:r>
      <w:r>
        <w:rPr>
          <w:lang w:val="en-US"/>
        </w:rPr>
        <w:t xml:space="preserve">the </w:t>
      </w:r>
      <w:r w:rsidRPr="003D6532">
        <w:rPr>
          <w:lang w:val="en-US"/>
        </w:rPr>
        <w:t>pseudo-academic pathway (central column). Previously</w:t>
      </w:r>
      <w:r>
        <w:rPr>
          <w:lang w:val="en-US"/>
        </w:rPr>
        <w:t>,</w:t>
      </w:r>
      <w:r w:rsidRPr="003D6532">
        <w:rPr>
          <w:lang w:val="en-US"/>
        </w:rPr>
        <w:t xml:space="preserve"> we found </w:t>
      </w:r>
      <w:r>
        <w:rPr>
          <w:lang w:val="en-US"/>
        </w:rPr>
        <w:t xml:space="preserve">few </w:t>
      </w:r>
      <w:r w:rsidRPr="003D6532">
        <w:rPr>
          <w:lang w:val="en-US"/>
        </w:rPr>
        <w:t xml:space="preserve">social disparities in the probability of selecting this pathway. In </w:t>
      </w:r>
      <w:r w:rsidRPr="003D6532">
        <w:rPr>
          <w:lang w:val="en-US"/>
        </w:rPr>
        <w:fldChar w:fldCharType="begin"/>
      </w:r>
      <w:r w:rsidRPr="003D6532">
        <w:rPr>
          <w:lang w:val="en-US"/>
        </w:rPr>
        <w:instrText xml:space="preserve"> REF _Ref475886160 \h </w:instrText>
      </w:r>
      <w:r w:rsidRPr="003D6532">
        <w:rPr>
          <w:lang w:val="en-US"/>
        </w:rPr>
      </w:r>
      <w:r w:rsidRPr="003D6532">
        <w:rPr>
          <w:lang w:val="en-US"/>
        </w:rPr>
        <w:fldChar w:fldCharType="separate"/>
      </w:r>
      <w:r w:rsidRPr="003D6532">
        <w:rPr>
          <w:lang w:val="en-US"/>
        </w:rPr>
        <w:t>Figure 4</w:t>
      </w:r>
      <w:r w:rsidRPr="003D6532">
        <w:rPr>
          <w:lang w:val="en-US"/>
        </w:rPr>
        <w:fldChar w:fldCharType="end"/>
      </w:r>
      <w:r>
        <w:rPr>
          <w:lang w:val="en-US"/>
        </w:rPr>
        <w:t>,</w:t>
      </w:r>
      <w:r w:rsidRPr="003D6532">
        <w:rPr>
          <w:lang w:val="en-US"/>
        </w:rPr>
        <w:t xml:space="preserve"> this is no longer the case: in some of our models, particular</w:t>
      </w:r>
      <w:r>
        <w:rPr>
          <w:lang w:val="en-US"/>
        </w:rPr>
        <w:t>ly</w:t>
      </w:r>
      <w:r w:rsidRPr="003D6532">
        <w:rPr>
          <w:lang w:val="en-US"/>
        </w:rPr>
        <w:t xml:space="preserve"> the ones employing PISA measures, corresponding probabilities appear to be more sensitive to changes in ability for children from more advantaged backgrounds</w:t>
      </w:r>
      <w:r>
        <w:rPr>
          <w:lang w:val="en-US"/>
        </w:rPr>
        <w:t xml:space="preserve"> </w:t>
      </w:r>
      <w:r w:rsidRPr="003D6532">
        <w:rPr>
          <w:lang w:val="en-US"/>
        </w:rPr>
        <w:lastRenderedPageBreak/>
        <w:t xml:space="preserve">than for children from less advantaged backgrounds. This </w:t>
      </w:r>
      <w:r>
        <w:rPr>
          <w:lang w:val="en-US"/>
        </w:rPr>
        <w:t xml:space="preserve">result </w:t>
      </w:r>
      <w:r w:rsidRPr="003D6532">
        <w:rPr>
          <w:lang w:val="en-US"/>
        </w:rPr>
        <w:t xml:space="preserve">is best observed by considering the extremes of </w:t>
      </w:r>
      <w:r>
        <w:rPr>
          <w:lang w:val="en-US"/>
        </w:rPr>
        <w:t xml:space="preserve">the </w:t>
      </w:r>
      <w:r w:rsidRPr="003D6532">
        <w:rPr>
          <w:lang w:val="en-US"/>
        </w:rPr>
        <w:t>ability distribution, where the differences in predicted probabilities become statistically significant</w:t>
      </w:r>
      <w:r>
        <w:rPr>
          <w:lang w:val="en-US"/>
        </w:rPr>
        <w:t>,</w:t>
      </w:r>
      <w:r w:rsidRPr="003D6532">
        <w:rPr>
          <w:lang w:val="en-US"/>
        </w:rPr>
        <w:t xml:space="preserve"> as illustrated by </w:t>
      </w:r>
      <w:r>
        <w:rPr>
          <w:lang w:val="en-US"/>
        </w:rPr>
        <w:t xml:space="preserve">the </w:t>
      </w:r>
      <w:r w:rsidRPr="003D6532">
        <w:rPr>
          <w:lang w:val="en-US"/>
        </w:rPr>
        <w:t>non-overlapping confidence intervals: at higher levels of ability (more than one standard deviation from the mean) children from more (versus less) advantaged background</w:t>
      </w:r>
      <w:r>
        <w:rPr>
          <w:lang w:val="en-US"/>
        </w:rPr>
        <w:t>s</w:t>
      </w:r>
      <w:r w:rsidRPr="003D6532">
        <w:rPr>
          <w:lang w:val="en-US"/>
        </w:rPr>
        <w:t xml:space="preserve"> are less likely to enroll in the track, whereas at lower levels of ability (less than one standard deviation from the mean)</w:t>
      </w:r>
      <w:r>
        <w:rPr>
          <w:lang w:val="en-US"/>
        </w:rPr>
        <w:t>,</w:t>
      </w:r>
      <w:r w:rsidRPr="003D6532">
        <w:rPr>
          <w:lang w:val="en-US"/>
        </w:rPr>
        <w:t xml:space="preserve"> the opposite tendency is observed. In general, the inclusion of the interaction term, which elucidates this pattern, leads to a statistically significant improvement in explanatory power in all of the models (according to Wald and likelihood-ratio tests in Table A.3 in Appendix). Thus, </w:t>
      </w:r>
      <w:r>
        <w:rPr>
          <w:lang w:val="en-US"/>
        </w:rPr>
        <w:t xml:space="preserve">the </w:t>
      </w:r>
      <w:r w:rsidRPr="003D6532">
        <w:rPr>
          <w:lang w:val="en-US"/>
        </w:rPr>
        <w:t xml:space="preserve">empirical evidence is also largely consistent with our </w:t>
      </w:r>
      <w:r w:rsidRPr="003D6532">
        <w:rPr>
          <w:i/>
          <w:lang w:val="en-US"/>
        </w:rPr>
        <w:t>social reproduction hypothesis</w:t>
      </w:r>
      <w:r w:rsidRPr="00D5219B">
        <w:rPr>
          <w:i/>
          <w:lang w:val="en-US"/>
        </w:rPr>
        <w:t xml:space="preserve"> </w:t>
      </w:r>
      <w:r w:rsidRPr="003D6532">
        <w:rPr>
          <w:i/>
          <w:lang w:val="en-US"/>
        </w:rPr>
        <w:t>II</w:t>
      </w:r>
      <w:r w:rsidRPr="003D6532">
        <w:rPr>
          <w:lang w:val="en-US"/>
        </w:rPr>
        <w:t>.</w:t>
      </w:r>
    </w:p>
    <w:p w14:paraId="2AA091F1" w14:textId="3122C004" w:rsidR="00CD1FC2" w:rsidRPr="003D6532" w:rsidRDefault="00CD1FC2" w:rsidP="00784547">
      <w:pPr>
        <w:rPr>
          <w:color w:val="000000" w:themeColor="text1"/>
          <w:lang w:val="en-US"/>
        </w:rPr>
      </w:pPr>
      <w:r w:rsidRPr="003D6532">
        <w:rPr>
          <w:lang w:val="en-US"/>
        </w:rPr>
        <w:t xml:space="preserve">Our final hypothesis, </w:t>
      </w:r>
      <w:r w:rsidRPr="003D6532">
        <w:rPr>
          <w:i/>
          <w:lang w:val="en-US"/>
        </w:rPr>
        <w:t>social reproduction hypothesis</w:t>
      </w:r>
      <w:r w:rsidRPr="00D5219B">
        <w:rPr>
          <w:i/>
          <w:lang w:val="en-US"/>
        </w:rPr>
        <w:t xml:space="preserve"> </w:t>
      </w:r>
      <w:r w:rsidRPr="003D6532">
        <w:rPr>
          <w:i/>
          <w:lang w:val="en-US"/>
        </w:rPr>
        <w:t>III</w:t>
      </w:r>
      <w:r w:rsidRPr="003D6532">
        <w:rPr>
          <w:lang w:val="en-US"/>
        </w:rPr>
        <w:t>, anticipate</w:t>
      </w:r>
      <w:r>
        <w:rPr>
          <w:lang w:val="en-US"/>
        </w:rPr>
        <w:t>s</w:t>
      </w:r>
      <w:r w:rsidRPr="003D6532">
        <w:rPr>
          <w:lang w:val="en-US"/>
        </w:rPr>
        <w:t xml:space="preserve"> that the compensatory effect of social background at lower levels of ability should be less visible in more meritocratic pathways. </w:t>
      </w:r>
      <w:r w:rsidRPr="003D6532">
        <w:rPr>
          <w:color w:val="000000" w:themeColor="text1"/>
          <w:lang w:val="en-US"/>
        </w:rPr>
        <w:t xml:space="preserve">The graphs on the right side of </w:t>
      </w:r>
      <w:r w:rsidRPr="003D6532">
        <w:rPr>
          <w:color w:val="000000" w:themeColor="text1"/>
          <w:lang w:val="en-US"/>
        </w:rPr>
        <w:fldChar w:fldCharType="begin"/>
      </w:r>
      <w:r w:rsidRPr="003D6532">
        <w:rPr>
          <w:color w:val="000000" w:themeColor="text1"/>
          <w:lang w:val="en-US"/>
        </w:rPr>
        <w:instrText xml:space="preserve"> REF _Ref475807937 \h </w:instrText>
      </w:r>
      <w:r w:rsidRPr="003D6532">
        <w:rPr>
          <w:color w:val="000000" w:themeColor="text1"/>
          <w:lang w:val="en-US"/>
        </w:rPr>
      </w:r>
      <w:r w:rsidRPr="003D6532">
        <w:rPr>
          <w:color w:val="000000" w:themeColor="text1"/>
          <w:lang w:val="en-US"/>
        </w:rPr>
        <w:fldChar w:fldCharType="separate"/>
      </w:r>
      <w:r w:rsidRPr="003D6532">
        <w:rPr>
          <w:color w:val="000000" w:themeColor="text1"/>
          <w:lang w:val="en-US"/>
        </w:rPr>
        <w:t>Figure 3</w:t>
      </w:r>
      <w:r w:rsidRPr="003D6532">
        <w:rPr>
          <w:color w:val="000000" w:themeColor="text1"/>
          <w:lang w:val="en-US"/>
        </w:rPr>
        <w:fldChar w:fldCharType="end"/>
      </w:r>
      <w:r w:rsidRPr="003D6532">
        <w:rPr>
          <w:color w:val="000000" w:themeColor="text1"/>
          <w:lang w:val="en-US"/>
        </w:rPr>
        <w:t xml:space="preserve"> </w:t>
      </w:r>
      <w:r>
        <w:rPr>
          <w:color w:val="000000" w:themeColor="text1"/>
          <w:lang w:val="en-US"/>
        </w:rPr>
        <w:t xml:space="preserve">present the </w:t>
      </w:r>
      <w:r w:rsidRPr="003D6532">
        <w:rPr>
          <w:color w:val="000000" w:themeColor="text1"/>
          <w:lang w:val="en-US"/>
        </w:rPr>
        <w:t xml:space="preserve">estimation results from models similar to the ones employed for the left-hand side with a single exception: the dependent variable represents successful transition to higher education only via </w:t>
      </w:r>
      <w:r>
        <w:rPr>
          <w:color w:val="000000" w:themeColor="text1"/>
          <w:lang w:val="en-US"/>
        </w:rPr>
        <w:t xml:space="preserve">the </w:t>
      </w:r>
      <w:r w:rsidRPr="003D6532">
        <w:rPr>
          <w:color w:val="000000" w:themeColor="text1"/>
          <w:lang w:val="en-US"/>
        </w:rPr>
        <w:t xml:space="preserve">traditional academic pathway (for </w:t>
      </w:r>
      <w:r>
        <w:rPr>
          <w:color w:val="000000" w:themeColor="text1"/>
          <w:lang w:val="en-US"/>
        </w:rPr>
        <w:t xml:space="preserve">the </w:t>
      </w:r>
      <w:r w:rsidRPr="003D6532">
        <w:rPr>
          <w:color w:val="000000" w:themeColor="text1"/>
          <w:lang w:val="en-US"/>
        </w:rPr>
        <w:t xml:space="preserve">exact models refer to Table A.4). </w:t>
      </w:r>
      <w:r>
        <w:rPr>
          <w:color w:val="000000" w:themeColor="text1"/>
          <w:lang w:val="en-US"/>
        </w:rPr>
        <w:t xml:space="preserve">Note </w:t>
      </w:r>
      <w:r w:rsidRPr="003D6532">
        <w:rPr>
          <w:color w:val="000000" w:themeColor="text1"/>
          <w:lang w:val="en-US"/>
        </w:rPr>
        <w:t xml:space="preserve">that the graphs on the left side of </w:t>
      </w:r>
      <w:r w:rsidRPr="003D6532">
        <w:rPr>
          <w:color w:val="000000" w:themeColor="text1"/>
          <w:lang w:val="en-US"/>
        </w:rPr>
        <w:fldChar w:fldCharType="begin"/>
      </w:r>
      <w:r w:rsidRPr="003D6532">
        <w:rPr>
          <w:color w:val="000000" w:themeColor="text1"/>
          <w:lang w:val="en-US"/>
        </w:rPr>
        <w:instrText xml:space="preserve"> REF _Ref475807937 \h </w:instrText>
      </w:r>
      <w:r w:rsidRPr="003D6532">
        <w:rPr>
          <w:color w:val="000000" w:themeColor="text1"/>
          <w:lang w:val="en-US"/>
        </w:rPr>
      </w:r>
      <w:r w:rsidRPr="003D6532">
        <w:rPr>
          <w:color w:val="000000" w:themeColor="text1"/>
          <w:lang w:val="en-US"/>
        </w:rPr>
        <w:fldChar w:fldCharType="separate"/>
      </w:r>
      <w:r w:rsidRPr="003D6532">
        <w:rPr>
          <w:color w:val="000000" w:themeColor="text1"/>
          <w:lang w:val="en-US"/>
        </w:rPr>
        <w:t>Figure 3</w:t>
      </w:r>
      <w:r w:rsidRPr="003D6532">
        <w:rPr>
          <w:color w:val="000000" w:themeColor="text1"/>
          <w:lang w:val="en-US"/>
        </w:rPr>
        <w:fldChar w:fldCharType="end"/>
      </w:r>
      <w:r w:rsidRPr="003D6532">
        <w:rPr>
          <w:color w:val="000000" w:themeColor="text1"/>
          <w:lang w:val="en-US"/>
        </w:rPr>
        <w:t xml:space="preserve"> do not distinguish between two different mechanisms of selection into higher education – i.e.</w:t>
      </w:r>
      <w:r>
        <w:rPr>
          <w:color w:val="000000" w:themeColor="text1"/>
          <w:lang w:val="en-US"/>
        </w:rPr>
        <w:t>,</w:t>
      </w:r>
      <w:r w:rsidRPr="003D6532">
        <w:rPr>
          <w:color w:val="000000" w:themeColor="text1"/>
          <w:lang w:val="en-US"/>
        </w:rPr>
        <w:t xml:space="preserve"> meritocratic in the case of </w:t>
      </w:r>
      <w:r>
        <w:rPr>
          <w:color w:val="000000" w:themeColor="text1"/>
          <w:lang w:val="en-US"/>
        </w:rPr>
        <w:t xml:space="preserve">the </w:t>
      </w:r>
      <w:r w:rsidRPr="003D6532">
        <w:rPr>
          <w:color w:val="000000" w:themeColor="text1"/>
          <w:lang w:val="en-US"/>
        </w:rPr>
        <w:t xml:space="preserve">academic pathway (as imposed by the USE requirement) and less meritocratic in the case of </w:t>
      </w:r>
      <w:r>
        <w:rPr>
          <w:color w:val="000000" w:themeColor="text1"/>
          <w:lang w:val="en-US"/>
        </w:rPr>
        <w:t xml:space="preserve">the </w:t>
      </w:r>
      <w:r w:rsidRPr="003D6532">
        <w:rPr>
          <w:color w:val="000000" w:themeColor="text1"/>
          <w:lang w:val="en-US"/>
        </w:rPr>
        <w:t xml:space="preserve">pseudo-academic pathway (as imposed by the possibility of waiving the USE requirement). </w:t>
      </w:r>
    </w:p>
    <w:p w14:paraId="6731E949" w14:textId="03FA4C77" w:rsidR="00CD1FC2" w:rsidRPr="003D6532" w:rsidRDefault="00CD1FC2" w:rsidP="00784547">
      <w:pPr>
        <w:rPr>
          <w:color w:val="000000" w:themeColor="text1"/>
          <w:lang w:val="en-US"/>
        </w:rPr>
      </w:pPr>
      <w:r w:rsidRPr="003D6532">
        <w:rPr>
          <w:color w:val="000000" w:themeColor="text1"/>
          <w:lang w:val="en-US"/>
        </w:rPr>
        <w:t xml:space="preserve">Inspection of the graphs on the right side of </w:t>
      </w:r>
      <w:r w:rsidRPr="003D6532">
        <w:rPr>
          <w:color w:val="000000" w:themeColor="text1"/>
          <w:lang w:val="en-US"/>
        </w:rPr>
        <w:fldChar w:fldCharType="begin"/>
      </w:r>
      <w:r w:rsidRPr="003D6532">
        <w:rPr>
          <w:color w:val="000000" w:themeColor="text1"/>
          <w:lang w:val="en-US"/>
        </w:rPr>
        <w:instrText xml:space="preserve"> REF _Ref475807937 \h </w:instrText>
      </w:r>
      <w:r w:rsidRPr="003D6532">
        <w:rPr>
          <w:color w:val="000000" w:themeColor="text1"/>
          <w:lang w:val="en-US"/>
        </w:rPr>
      </w:r>
      <w:r w:rsidRPr="003D6532">
        <w:rPr>
          <w:color w:val="000000" w:themeColor="text1"/>
          <w:lang w:val="en-US"/>
        </w:rPr>
        <w:fldChar w:fldCharType="separate"/>
      </w:r>
      <w:r w:rsidRPr="003D6532">
        <w:rPr>
          <w:color w:val="000000" w:themeColor="text1"/>
          <w:lang w:val="en-US"/>
        </w:rPr>
        <w:t>Figure 3</w:t>
      </w:r>
      <w:r w:rsidRPr="003D6532">
        <w:rPr>
          <w:color w:val="000000" w:themeColor="text1"/>
          <w:lang w:val="en-US"/>
        </w:rPr>
        <w:fldChar w:fldCharType="end"/>
      </w:r>
      <w:r w:rsidRPr="003D6532">
        <w:rPr>
          <w:color w:val="000000" w:themeColor="text1"/>
          <w:lang w:val="en-US"/>
        </w:rPr>
        <w:t xml:space="preserve"> reveals that secondary effects of social background remain largely stable at any given level of ability, unlike what we observe without distinguishing between both pathways to higher education. Ignoring the results from </w:t>
      </w:r>
      <w:r>
        <w:rPr>
          <w:color w:val="000000" w:themeColor="text1"/>
          <w:lang w:val="en-US"/>
        </w:rPr>
        <w:t xml:space="preserve">the </w:t>
      </w:r>
      <w:r w:rsidRPr="003D6532">
        <w:rPr>
          <w:color w:val="000000" w:themeColor="text1"/>
          <w:lang w:val="en-US"/>
        </w:rPr>
        <w:t xml:space="preserve">TIMSS models, which are again somewhat counter-intuitive, we </w:t>
      </w:r>
      <w:r>
        <w:rPr>
          <w:color w:val="000000" w:themeColor="text1"/>
          <w:lang w:val="en-US"/>
        </w:rPr>
        <w:t xml:space="preserve">interpret this result </w:t>
      </w:r>
      <w:r w:rsidRPr="003D6532">
        <w:rPr>
          <w:color w:val="000000" w:themeColor="text1"/>
          <w:lang w:val="en-US"/>
        </w:rPr>
        <w:t xml:space="preserve">as </w:t>
      </w:r>
      <w:r w:rsidRPr="003D6532">
        <w:rPr>
          <w:color w:val="000000" w:themeColor="text1"/>
          <w:lang w:val="en-US"/>
        </w:rPr>
        <w:lastRenderedPageBreak/>
        <w:t xml:space="preserve">evidence </w:t>
      </w:r>
      <w:r>
        <w:rPr>
          <w:color w:val="000000" w:themeColor="text1"/>
          <w:lang w:val="en-US"/>
        </w:rPr>
        <w:t xml:space="preserve">supporting </w:t>
      </w:r>
      <w:r w:rsidRPr="003D6532">
        <w:rPr>
          <w:color w:val="000000" w:themeColor="text1"/>
          <w:lang w:val="en-US"/>
        </w:rPr>
        <w:t xml:space="preserve">our </w:t>
      </w:r>
      <w:r w:rsidRPr="003D6532">
        <w:rPr>
          <w:i/>
          <w:color w:val="000000" w:themeColor="text1"/>
          <w:lang w:val="en-US"/>
        </w:rPr>
        <w:t>social reproduction hypothesis III</w:t>
      </w:r>
      <w:r w:rsidRPr="003D6532">
        <w:rPr>
          <w:color w:val="000000" w:themeColor="text1"/>
          <w:lang w:val="en-US"/>
        </w:rPr>
        <w:t xml:space="preserve">. In fact, it looks like excluding </w:t>
      </w:r>
      <w:r>
        <w:rPr>
          <w:color w:val="000000" w:themeColor="text1"/>
          <w:lang w:val="en-US"/>
        </w:rPr>
        <w:t xml:space="preserve">the </w:t>
      </w:r>
      <w:r w:rsidRPr="003D6532">
        <w:rPr>
          <w:color w:val="000000" w:themeColor="text1"/>
          <w:lang w:val="en-US"/>
        </w:rPr>
        <w:t xml:space="preserve">pseudo-academic pathway from consideration almost completely rules out the compensatory effect of social background. In other words, </w:t>
      </w:r>
      <w:r>
        <w:rPr>
          <w:color w:val="000000" w:themeColor="text1"/>
          <w:lang w:val="en-US"/>
        </w:rPr>
        <w:t xml:space="preserve">the </w:t>
      </w:r>
      <w:r w:rsidRPr="003D6532">
        <w:rPr>
          <w:color w:val="000000" w:themeColor="text1"/>
          <w:lang w:val="en-US"/>
        </w:rPr>
        <w:t>pseudo-academic pathway seem</w:t>
      </w:r>
      <w:r>
        <w:rPr>
          <w:color w:val="000000" w:themeColor="text1"/>
          <w:lang w:val="en-US"/>
        </w:rPr>
        <w:t>s</w:t>
      </w:r>
      <w:r w:rsidRPr="003D6532">
        <w:rPr>
          <w:color w:val="000000" w:themeColor="text1"/>
          <w:lang w:val="en-US"/>
        </w:rPr>
        <w:t xml:space="preserve"> to account for the entire pattern predicted by </w:t>
      </w:r>
      <w:r w:rsidRPr="003D6532">
        <w:rPr>
          <w:i/>
          <w:color w:val="000000" w:themeColor="text1"/>
          <w:lang w:val="en-US"/>
        </w:rPr>
        <w:t xml:space="preserve">social reproduction hypothesis </w:t>
      </w:r>
      <w:proofErr w:type="gramStart"/>
      <w:r w:rsidRPr="003D6532">
        <w:rPr>
          <w:i/>
          <w:color w:val="000000" w:themeColor="text1"/>
          <w:lang w:val="en-US"/>
        </w:rPr>
        <w:t>I</w:t>
      </w:r>
      <w:proofErr w:type="gramEnd"/>
      <w:r w:rsidRPr="003D6532">
        <w:rPr>
          <w:color w:val="000000" w:themeColor="text1"/>
          <w:lang w:val="en-US"/>
        </w:rPr>
        <w:t xml:space="preserve">. </w:t>
      </w:r>
    </w:p>
    <w:p w14:paraId="55DC7F2E" w14:textId="77777777" w:rsidR="00CD1FC2" w:rsidRPr="003D6532" w:rsidRDefault="00CD1FC2" w:rsidP="00ED22FE">
      <w:pPr>
        <w:rPr>
          <w:lang w:val="en-US"/>
        </w:rPr>
      </w:pPr>
    </w:p>
    <w:p w14:paraId="0707EF91" w14:textId="03DA01D5" w:rsidR="00CD1FC2" w:rsidRPr="003D6532" w:rsidRDefault="00CD1FC2" w:rsidP="00B145F4">
      <w:pPr>
        <w:pStyle w:val="Heading2"/>
        <w:rPr>
          <w:lang w:val="en-US"/>
        </w:rPr>
      </w:pPr>
      <w:bookmarkStart w:id="9" w:name="_Ref476904137"/>
      <w:r w:rsidRPr="003D6532">
        <w:rPr>
          <w:lang w:val="en-US"/>
        </w:rPr>
        <w:t>5.3 Robustness checks</w:t>
      </w:r>
      <w:bookmarkEnd w:id="9"/>
    </w:p>
    <w:p w14:paraId="6014F448" w14:textId="34542CF3" w:rsidR="00CD1FC2" w:rsidRPr="003D6532" w:rsidRDefault="00CD1FC2" w:rsidP="005867C2">
      <w:pPr>
        <w:rPr>
          <w:lang w:val="en-US"/>
        </w:rPr>
      </w:pPr>
      <w:r w:rsidRPr="003D6532">
        <w:rPr>
          <w:lang w:val="en-US"/>
        </w:rPr>
        <w:t xml:space="preserve">We enhance the credibility of our findings with several robustness checks. We apply all of our checks to the set of models employed to test </w:t>
      </w:r>
      <w:r w:rsidRPr="003D6532">
        <w:rPr>
          <w:i/>
          <w:lang w:val="en-US"/>
        </w:rPr>
        <w:t>social reproduction hypothesis II</w:t>
      </w:r>
      <w:r w:rsidRPr="003D6532">
        <w:rPr>
          <w:lang w:val="en-US"/>
        </w:rPr>
        <w:t xml:space="preserve">, </w:t>
      </w:r>
      <w:r>
        <w:rPr>
          <w:lang w:val="en-US"/>
        </w:rPr>
        <w:t>since</w:t>
      </w:r>
      <w:r w:rsidRPr="003D6532">
        <w:rPr>
          <w:lang w:val="en-US"/>
        </w:rPr>
        <w:t xml:space="preserve"> it generalizes the patterns obtained from the rest of our models and corroborates our most important finding.</w:t>
      </w:r>
    </w:p>
    <w:p w14:paraId="2FF40B00" w14:textId="57A9E495" w:rsidR="00CD1FC2" w:rsidRPr="003D6532" w:rsidRDefault="00CD1FC2" w:rsidP="005867C2">
      <w:pPr>
        <w:rPr>
          <w:lang w:val="en-US"/>
        </w:rPr>
      </w:pPr>
      <w:r w:rsidRPr="003D6532">
        <w:rPr>
          <w:lang w:val="en-US"/>
        </w:rPr>
        <w:t xml:space="preserve">First, we test </w:t>
      </w:r>
      <w:r>
        <w:rPr>
          <w:lang w:val="en-US"/>
        </w:rPr>
        <w:t xml:space="preserve">whether the </w:t>
      </w:r>
      <w:r w:rsidRPr="003D6532">
        <w:rPr>
          <w:lang w:val="en-US"/>
        </w:rPr>
        <w:t>results are sensitive to the linear specification of ability effects in our models. We re-estimate the models by substituting continuous ability measures with categorical variables containing quintiles</w:t>
      </w:r>
      <w:r>
        <w:rPr>
          <w:lang w:val="en-US"/>
        </w:rPr>
        <w:t>, and</w:t>
      </w:r>
      <w:r w:rsidRPr="003D6532">
        <w:rPr>
          <w:lang w:val="en-US"/>
        </w:rPr>
        <w:t xml:space="preserve"> </w:t>
      </w:r>
      <w:r>
        <w:rPr>
          <w:lang w:val="en-US"/>
        </w:rPr>
        <w:t xml:space="preserve">we </w:t>
      </w:r>
      <w:r w:rsidRPr="003D6532">
        <w:rPr>
          <w:lang w:val="en-US"/>
        </w:rPr>
        <w:t xml:space="preserve">find that this produces similar, albeit less statistically precise patterns (graphic illustration – Figure A.1 in Appendix, full model estimates – </w:t>
      </w:r>
      <w:r w:rsidR="00027A00">
        <w:rPr>
          <w:lang w:val="en-US"/>
        </w:rPr>
        <w:t>Table A.5 in Appendix</w:t>
      </w:r>
      <w:r w:rsidRPr="003D6532">
        <w:rPr>
          <w:lang w:val="en-US"/>
        </w:rPr>
        <w:t xml:space="preserve">). However, the reduction in statistical power of </w:t>
      </w:r>
      <w:r>
        <w:rPr>
          <w:lang w:val="en-US"/>
        </w:rPr>
        <w:t xml:space="preserve">the </w:t>
      </w:r>
      <w:r w:rsidRPr="003D6532">
        <w:rPr>
          <w:lang w:val="en-US"/>
        </w:rPr>
        <w:t xml:space="preserve">estimates is predictable, since this estimation strategy substantially increases the number of degrees of freedom in the models. </w:t>
      </w:r>
      <w:r>
        <w:rPr>
          <w:lang w:val="en-US"/>
        </w:rPr>
        <w:t>Nevertheless</w:t>
      </w:r>
      <w:r w:rsidRPr="003D6532">
        <w:rPr>
          <w:lang w:val="en-US"/>
        </w:rPr>
        <w:t>, we conclude that linear specification of effects does not invalidate our findings.</w:t>
      </w:r>
    </w:p>
    <w:p w14:paraId="11961575" w14:textId="34EF5C27" w:rsidR="00CD1FC2" w:rsidRPr="003D6532" w:rsidRDefault="00CD1FC2" w:rsidP="007526E9">
      <w:pPr>
        <w:rPr>
          <w:lang w:val="en-US"/>
        </w:rPr>
      </w:pPr>
      <w:r w:rsidRPr="003D6532">
        <w:rPr>
          <w:lang w:val="en-US"/>
        </w:rPr>
        <w:t xml:space="preserve">Second, we rule out the possibility of bias </w:t>
      </w:r>
      <w:r>
        <w:rPr>
          <w:lang w:val="en-US"/>
        </w:rPr>
        <w:t xml:space="preserve">that </w:t>
      </w:r>
      <w:r w:rsidRPr="003D6532">
        <w:rPr>
          <w:lang w:val="en-US"/>
        </w:rPr>
        <w:t>we anticipated earlier, i.e.</w:t>
      </w:r>
      <w:r>
        <w:rPr>
          <w:lang w:val="en-US"/>
        </w:rPr>
        <w:t>,</w:t>
      </w:r>
      <w:r w:rsidRPr="003D6532">
        <w:rPr>
          <w:lang w:val="en-US"/>
        </w:rPr>
        <w:t xml:space="preserve"> the bias resulting from </w:t>
      </w:r>
      <w:r>
        <w:rPr>
          <w:lang w:val="en-US"/>
        </w:rPr>
        <w:t xml:space="preserve">the </w:t>
      </w:r>
      <w:r w:rsidRPr="003D6532">
        <w:rPr>
          <w:lang w:val="en-US"/>
        </w:rPr>
        <w:t xml:space="preserve">sample attrition and selective underrepresentation of students opting for pseudo-academic and vocational pathways. We deal with this </w:t>
      </w:r>
      <w:r>
        <w:rPr>
          <w:lang w:val="en-US"/>
        </w:rPr>
        <w:t xml:space="preserve">issue </w:t>
      </w:r>
      <w:r w:rsidRPr="003D6532">
        <w:rPr>
          <w:lang w:val="en-US"/>
        </w:rPr>
        <w:t>by re-estimating the models</w:t>
      </w:r>
      <w:r>
        <w:rPr>
          <w:lang w:val="en-US"/>
        </w:rPr>
        <w:t xml:space="preserve"> </w:t>
      </w:r>
      <w:r w:rsidRPr="003D6532">
        <w:rPr>
          <w:lang w:val="en-US"/>
        </w:rPr>
        <w:t xml:space="preserve">in which real educational transitions are substituted with aspired educational transitions. The results of this estimation do not deviate from the patterns of real educational transitions in </w:t>
      </w:r>
      <w:r>
        <w:rPr>
          <w:lang w:val="en-US"/>
        </w:rPr>
        <w:t xml:space="preserve">a </w:t>
      </w:r>
      <w:r w:rsidRPr="003D6532">
        <w:rPr>
          <w:lang w:val="en-US"/>
        </w:rPr>
        <w:t xml:space="preserve">way </w:t>
      </w:r>
      <w:r>
        <w:rPr>
          <w:lang w:val="en-US"/>
        </w:rPr>
        <w:t xml:space="preserve">that </w:t>
      </w:r>
      <w:r w:rsidRPr="003D6532">
        <w:rPr>
          <w:lang w:val="en-US"/>
        </w:rPr>
        <w:t xml:space="preserve">would force us to reconsider our findings (graphic illustration – Figure A.2 in Appendix, full model estimates – </w:t>
      </w:r>
      <w:r w:rsidR="001F3C9B">
        <w:rPr>
          <w:lang w:val="en-US"/>
        </w:rPr>
        <w:t>Table A.6 in Appendix</w:t>
      </w:r>
      <w:r w:rsidRPr="003D6532">
        <w:rPr>
          <w:lang w:val="en-US"/>
        </w:rPr>
        <w:t xml:space="preserve">). </w:t>
      </w:r>
    </w:p>
    <w:p w14:paraId="6D064D9B" w14:textId="01F8955B" w:rsidR="00CD1FC2" w:rsidRPr="003D6532" w:rsidRDefault="00CD1FC2" w:rsidP="00C5703C">
      <w:pPr>
        <w:rPr>
          <w:lang w:val="en-US"/>
        </w:rPr>
      </w:pPr>
      <w:r w:rsidRPr="003D6532">
        <w:rPr>
          <w:lang w:val="en-US"/>
        </w:rPr>
        <w:lastRenderedPageBreak/>
        <w:t xml:space="preserve">Finally, we must engage with </w:t>
      </w:r>
      <w:r>
        <w:rPr>
          <w:lang w:val="en-US"/>
        </w:rPr>
        <w:t xml:space="preserve">the </w:t>
      </w:r>
      <w:r w:rsidRPr="003D6532">
        <w:rPr>
          <w:lang w:val="en-US"/>
        </w:rPr>
        <w:t xml:space="preserve">inconsistent results from the models in which scholastic ability is approximated with TIMSS math and science scores. We can </w:t>
      </w:r>
      <w:r>
        <w:rPr>
          <w:lang w:val="en-US"/>
        </w:rPr>
        <w:t>offer</w:t>
      </w:r>
      <w:r w:rsidRPr="003D6532">
        <w:rPr>
          <w:lang w:val="en-US"/>
        </w:rPr>
        <w:t xml:space="preserve"> at least two arguments why using TIMSS measures might enhance rather than weaken </w:t>
      </w:r>
      <w:r>
        <w:rPr>
          <w:lang w:val="en-US"/>
        </w:rPr>
        <w:t xml:space="preserve">the </w:t>
      </w:r>
      <w:r w:rsidRPr="003D6532">
        <w:rPr>
          <w:lang w:val="en-US"/>
        </w:rPr>
        <w:t xml:space="preserve">credibility of the corresponding models: </w:t>
      </w:r>
    </w:p>
    <w:p w14:paraId="22F5BB84" w14:textId="77777777" w:rsidR="00CD1FC2" w:rsidRPr="003D6532" w:rsidRDefault="00CD1FC2" w:rsidP="00C5703C">
      <w:pPr>
        <w:rPr>
          <w:lang w:val="en-US"/>
        </w:rPr>
      </w:pPr>
    </w:p>
    <w:p w14:paraId="0A216C3E" w14:textId="388666C0" w:rsidR="008B62B2" w:rsidRPr="003D6532" w:rsidRDefault="00CD1FC2" w:rsidP="009A3245">
      <w:pPr>
        <w:pStyle w:val="ListParagraph"/>
        <w:numPr>
          <w:ilvl w:val="0"/>
          <w:numId w:val="25"/>
        </w:numPr>
        <w:rPr>
          <w:lang w:val="en-US"/>
        </w:rPr>
      </w:pPr>
      <w:r w:rsidRPr="003D6532">
        <w:rPr>
          <w:lang w:val="en-US"/>
        </w:rPr>
        <w:t xml:space="preserve">Higher sample quality: </w:t>
      </w:r>
      <w:r>
        <w:rPr>
          <w:lang w:val="en-US"/>
        </w:rPr>
        <w:t xml:space="preserve">The </w:t>
      </w:r>
      <w:r w:rsidRPr="003D6532">
        <w:rPr>
          <w:lang w:val="en-US"/>
        </w:rPr>
        <w:t xml:space="preserve">TIMSS sample is the parent sample for all subsequent waves, and </w:t>
      </w:r>
      <w:r>
        <w:rPr>
          <w:lang w:val="en-US"/>
        </w:rPr>
        <w:t xml:space="preserve">it </w:t>
      </w:r>
      <w:r w:rsidRPr="003D6532">
        <w:rPr>
          <w:lang w:val="en-US"/>
        </w:rPr>
        <w:t xml:space="preserve">must </w:t>
      </w:r>
      <w:r>
        <w:rPr>
          <w:lang w:val="en-US"/>
        </w:rPr>
        <w:t xml:space="preserve">therefore </w:t>
      </w:r>
      <w:r w:rsidRPr="003D6532">
        <w:rPr>
          <w:lang w:val="en-US"/>
        </w:rPr>
        <w:t>provide an unbiased representation of the target cohort;</w:t>
      </w:r>
      <w:r w:rsidRPr="003D6532">
        <w:rPr>
          <w:rStyle w:val="EndnoteReference"/>
          <w:lang w:val="en-US"/>
        </w:rPr>
        <w:endnoteReference w:id="5"/>
      </w:r>
      <w:r w:rsidRPr="003D6532">
        <w:rPr>
          <w:lang w:val="en-US"/>
        </w:rPr>
        <w:t xml:space="preserve"> </w:t>
      </w:r>
    </w:p>
    <w:p w14:paraId="45C1EEF6" w14:textId="1720B16A" w:rsidR="00D97975" w:rsidRPr="003D6532" w:rsidRDefault="00351C0F" w:rsidP="009A3245">
      <w:pPr>
        <w:pStyle w:val="ListParagraph"/>
        <w:numPr>
          <w:ilvl w:val="0"/>
          <w:numId w:val="25"/>
        </w:numPr>
        <w:rPr>
          <w:lang w:val="en-US"/>
        </w:rPr>
      </w:pPr>
      <w:r w:rsidRPr="003D6532">
        <w:rPr>
          <w:lang w:val="en-US"/>
        </w:rPr>
        <w:t>S</w:t>
      </w:r>
      <w:r w:rsidR="008C6B54" w:rsidRPr="003D6532">
        <w:rPr>
          <w:lang w:val="en-US"/>
        </w:rPr>
        <w:t xml:space="preserve">tructure of </w:t>
      </w:r>
      <w:r w:rsidR="00B54099" w:rsidRPr="003D6532">
        <w:rPr>
          <w:lang w:val="en-US"/>
        </w:rPr>
        <w:t>TIMSS</w:t>
      </w:r>
      <w:r w:rsidR="008C6B54" w:rsidRPr="003D6532">
        <w:rPr>
          <w:lang w:val="en-US"/>
        </w:rPr>
        <w:t xml:space="preserve"> assessment</w:t>
      </w:r>
      <w:r w:rsidRPr="003D6532">
        <w:rPr>
          <w:lang w:val="en-US"/>
        </w:rPr>
        <w:t xml:space="preserve">: </w:t>
      </w:r>
      <w:r w:rsidR="007D431D" w:rsidRPr="003D6532">
        <w:rPr>
          <w:lang w:val="en-US"/>
        </w:rPr>
        <w:t>TIMSS assessment</w:t>
      </w:r>
      <w:r w:rsidR="008A3349" w:rsidRPr="003D6532">
        <w:rPr>
          <w:lang w:val="en-US"/>
        </w:rPr>
        <w:t xml:space="preserve"> is</w:t>
      </w:r>
      <w:r w:rsidR="00596674" w:rsidRPr="003D6532">
        <w:rPr>
          <w:lang w:val="en-US"/>
        </w:rPr>
        <w:t xml:space="preserve"> argued to have</w:t>
      </w:r>
      <w:r w:rsidR="008311A7" w:rsidRPr="003D6532">
        <w:rPr>
          <w:lang w:val="en-US"/>
        </w:rPr>
        <w:t xml:space="preserve"> greater resemblance with Russian secondary general schools’ curriculum than PISA assessment</w:t>
      </w:r>
      <w:r w:rsidR="006A4264" w:rsidRPr="003D6532">
        <w:rPr>
          <w:lang w:val="en-US"/>
        </w:rPr>
        <w:t xml:space="preserve"> </w:t>
      </w:r>
      <w:r w:rsidR="0042477D" w:rsidRPr="003D6532">
        <w:rPr>
          <w:rFonts w:cs="Times New Roman"/>
          <w:szCs w:val="24"/>
          <w:lang w:val="en-US"/>
        </w:rPr>
        <w:t>(</w:t>
      </w:r>
      <w:proofErr w:type="spellStart"/>
      <w:r w:rsidR="00AD3F1F" w:rsidRPr="003D6532">
        <w:rPr>
          <w:rFonts w:cs="Times New Roman"/>
          <w:szCs w:val="24"/>
          <w:lang w:val="en-US"/>
        </w:rPr>
        <w:t>Tyumeneva</w:t>
      </w:r>
      <w:proofErr w:type="spellEnd"/>
      <w:r w:rsidR="00AD3F1F" w:rsidRPr="003D6532">
        <w:rPr>
          <w:rFonts w:cs="Times New Roman"/>
          <w:szCs w:val="24"/>
          <w:lang w:val="en-US"/>
        </w:rPr>
        <w:t xml:space="preserve">, </w:t>
      </w:r>
      <w:proofErr w:type="spellStart"/>
      <w:r w:rsidR="00AD3F1F" w:rsidRPr="003D6532">
        <w:rPr>
          <w:rFonts w:cs="Times New Roman"/>
          <w:szCs w:val="24"/>
          <w:lang w:val="en-US"/>
        </w:rPr>
        <w:t>Val’dman</w:t>
      </w:r>
      <w:proofErr w:type="spellEnd"/>
      <w:r w:rsidR="0042477D" w:rsidRPr="003D6532">
        <w:rPr>
          <w:rFonts w:cs="Times New Roman"/>
          <w:szCs w:val="24"/>
          <w:lang w:val="en-US"/>
        </w:rPr>
        <w:t xml:space="preserve">, and </w:t>
      </w:r>
      <w:proofErr w:type="spellStart"/>
      <w:r w:rsidR="00AD3F1F" w:rsidRPr="003D6532">
        <w:rPr>
          <w:rFonts w:cs="Times New Roman"/>
          <w:szCs w:val="24"/>
          <w:lang w:val="en-US"/>
        </w:rPr>
        <w:t>Carnoy</w:t>
      </w:r>
      <w:proofErr w:type="spellEnd"/>
      <w:r w:rsidR="0042477D" w:rsidRPr="003D6532">
        <w:rPr>
          <w:rFonts w:cs="Times New Roman"/>
          <w:szCs w:val="24"/>
          <w:lang w:val="en-US"/>
        </w:rPr>
        <w:t xml:space="preserve"> 2014)</w:t>
      </w:r>
      <w:r w:rsidR="007D431D" w:rsidRPr="003D6532">
        <w:rPr>
          <w:lang w:val="en-US"/>
        </w:rPr>
        <w:t xml:space="preserve">. Hence, </w:t>
      </w:r>
      <w:r w:rsidR="008311A7" w:rsidRPr="003D6532">
        <w:rPr>
          <w:lang w:val="en-US"/>
        </w:rPr>
        <w:t xml:space="preserve">it </w:t>
      </w:r>
      <w:r w:rsidRPr="003D6532">
        <w:rPr>
          <w:lang w:val="en-US"/>
        </w:rPr>
        <w:t xml:space="preserve">should </w:t>
      </w:r>
      <w:r w:rsidR="009A75B9" w:rsidRPr="003D6532">
        <w:rPr>
          <w:lang w:val="en-US"/>
        </w:rPr>
        <w:t>be more</w:t>
      </w:r>
      <w:r w:rsidR="008311A7" w:rsidRPr="003D6532">
        <w:rPr>
          <w:lang w:val="en-US"/>
        </w:rPr>
        <w:t xml:space="preserve"> </w:t>
      </w:r>
      <w:r w:rsidR="009A75B9" w:rsidRPr="003D6532">
        <w:rPr>
          <w:lang w:val="en-US"/>
        </w:rPr>
        <w:t>relevant for</w:t>
      </w:r>
      <w:r w:rsidRPr="003D6532">
        <w:rPr>
          <w:lang w:val="en-US"/>
        </w:rPr>
        <w:t xml:space="preserve"> success in</w:t>
      </w:r>
      <w:r w:rsidR="009A75B9" w:rsidRPr="003D6532">
        <w:rPr>
          <w:lang w:val="en-US"/>
        </w:rPr>
        <w:t xml:space="preserve"> </w:t>
      </w:r>
      <w:r w:rsidR="00D5219B">
        <w:rPr>
          <w:lang w:val="en-US"/>
        </w:rPr>
        <w:t xml:space="preserve">the </w:t>
      </w:r>
      <w:r w:rsidRPr="003D6532">
        <w:rPr>
          <w:lang w:val="en-US"/>
        </w:rPr>
        <w:t>academic pathway</w:t>
      </w:r>
      <w:r w:rsidR="009A75B9" w:rsidRPr="003D6532">
        <w:rPr>
          <w:lang w:val="en-US"/>
        </w:rPr>
        <w:t xml:space="preserve"> </w:t>
      </w:r>
      <w:r w:rsidRPr="003D6532">
        <w:rPr>
          <w:lang w:val="en-US"/>
        </w:rPr>
        <w:t>through</w:t>
      </w:r>
      <w:r w:rsidR="009A75B9" w:rsidRPr="003D6532">
        <w:rPr>
          <w:lang w:val="en-US"/>
        </w:rPr>
        <w:t xml:space="preserve"> USE</w:t>
      </w:r>
      <w:r w:rsidRPr="003D6532">
        <w:rPr>
          <w:lang w:val="en-US"/>
        </w:rPr>
        <w:t xml:space="preserve"> admissions</w:t>
      </w:r>
      <w:r w:rsidR="006B33FC" w:rsidRPr="003D6532">
        <w:rPr>
          <w:lang w:val="en-US"/>
        </w:rPr>
        <w:t>. T</w:t>
      </w:r>
      <w:r w:rsidRPr="003D6532">
        <w:rPr>
          <w:lang w:val="en-US"/>
        </w:rPr>
        <w:t xml:space="preserve">he </w:t>
      </w:r>
      <w:r w:rsidR="00C5703C" w:rsidRPr="003D6532">
        <w:rPr>
          <w:lang w:val="en-US"/>
        </w:rPr>
        <w:t xml:space="preserve">latter </w:t>
      </w:r>
      <w:r w:rsidR="00D5219B">
        <w:rPr>
          <w:lang w:val="en-US"/>
        </w:rPr>
        <w:t xml:space="preserve">point </w:t>
      </w:r>
      <w:r w:rsidR="00C5703C" w:rsidRPr="003D6532">
        <w:rPr>
          <w:lang w:val="en-US"/>
        </w:rPr>
        <w:t>is especially important, because the theoretical rationale</w:t>
      </w:r>
      <w:r w:rsidR="00721113" w:rsidRPr="003D6532">
        <w:rPr>
          <w:lang w:val="en-US"/>
        </w:rPr>
        <w:t xml:space="preserve"> behind </w:t>
      </w:r>
      <w:r w:rsidR="00C5703C" w:rsidRPr="003D6532">
        <w:rPr>
          <w:lang w:val="en-US"/>
        </w:rPr>
        <w:t xml:space="preserve">our hypotheses hinges on the USE as an important institutional feature triggering different types of strategies. </w:t>
      </w:r>
    </w:p>
    <w:p w14:paraId="087F9EA4" w14:textId="77777777" w:rsidR="00C57DCE" w:rsidRPr="003D6532" w:rsidRDefault="00C57DCE" w:rsidP="00C5703C">
      <w:pPr>
        <w:rPr>
          <w:lang w:val="en-US"/>
        </w:rPr>
      </w:pPr>
    </w:p>
    <w:p w14:paraId="2458D951" w14:textId="00B34C10" w:rsidR="00A77EEC" w:rsidRPr="003D6532" w:rsidRDefault="004953D9" w:rsidP="00E273A5">
      <w:pPr>
        <w:rPr>
          <w:lang w:val="en-US"/>
        </w:rPr>
      </w:pPr>
      <w:r w:rsidRPr="003D6532">
        <w:rPr>
          <w:lang w:val="en-US"/>
        </w:rPr>
        <w:t xml:space="preserve">To check whether the first </w:t>
      </w:r>
      <w:r w:rsidR="00CB0D51" w:rsidRPr="003D6532">
        <w:rPr>
          <w:lang w:val="en-US"/>
        </w:rPr>
        <w:t>argument</w:t>
      </w:r>
      <w:r w:rsidRPr="003D6532">
        <w:rPr>
          <w:lang w:val="en-US"/>
        </w:rPr>
        <w:t xml:space="preserve"> </w:t>
      </w:r>
      <w:r w:rsidR="00A77EEC" w:rsidRPr="003D6532">
        <w:rPr>
          <w:lang w:val="en-US"/>
        </w:rPr>
        <w:t>is valid, we r</w:t>
      </w:r>
      <w:r w:rsidR="0013002D" w:rsidRPr="003D6532">
        <w:rPr>
          <w:lang w:val="en-US"/>
        </w:rPr>
        <w:t>e-</w:t>
      </w:r>
      <w:r w:rsidR="00A77EEC" w:rsidRPr="003D6532">
        <w:rPr>
          <w:lang w:val="en-US"/>
        </w:rPr>
        <w:t xml:space="preserve">estimate </w:t>
      </w:r>
      <w:r w:rsidR="00D5219B">
        <w:rPr>
          <w:lang w:val="en-US"/>
        </w:rPr>
        <w:t xml:space="preserve">the </w:t>
      </w:r>
      <w:r w:rsidR="0013002D" w:rsidRPr="003D6532">
        <w:rPr>
          <w:lang w:val="en-US"/>
        </w:rPr>
        <w:t>models</w:t>
      </w:r>
      <w:r w:rsidR="00547D7E" w:rsidRPr="003D6532">
        <w:rPr>
          <w:lang w:val="en-US"/>
        </w:rPr>
        <w:t xml:space="preserve"> employing TIMSS measures for ability</w:t>
      </w:r>
      <w:r w:rsidR="0013002D" w:rsidRPr="003D6532">
        <w:rPr>
          <w:lang w:val="en-US"/>
        </w:rPr>
        <w:t xml:space="preserve"> on a truncated PISA sample</w:t>
      </w:r>
      <w:r w:rsidR="00E273A5" w:rsidRPr="003D6532">
        <w:rPr>
          <w:lang w:val="en-US"/>
        </w:rPr>
        <w:t xml:space="preserve"> (</w:t>
      </w:r>
      <w:r w:rsidR="00B36A23" w:rsidRPr="003D6532">
        <w:rPr>
          <w:lang w:val="en-US"/>
        </w:rPr>
        <w:t>graphic illustration – Figure A.</w:t>
      </w:r>
      <w:r w:rsidR="00B36A23">
        <w:rPr>
          <w:lang w:val="en-US"/>
        </w:rPr>
        <w:t>3</w:t>
      </w:r>
      <w:r w:rsidR="00B36A23" w:rsidRPr="003D6532">
        <w:rPr>
          <w:lang w:val="en-US"/>
        </w:rPr>
        <w:t xml:space="preserve"> in Appendix, full model estimates – </w:t>
      </w:r>
      <w:r w:rsidR="00B36A23">
        <w:rPr>
          <w:lang w:val="en-US"/>
        </w:rPr>
        <w:t>Table A.7 in Appendix</w:t>
      </w:r>
      <w:r w:rsidR="00E273A5" w:rsidRPr="003D6532">
        <w:rPr>
          <w:lang w:val="en-US"/>
        </w:rPr>
        <w:t>)</w:t>
      </w:r>
      <w:r w:rsidR="00A77EEC" w:rsidRPr="003D6532">
        <w:rPr>
          <w:lang w:val="en-US"/>
        </w:rPr>
        <w:t xml:space="preserve">. </w:t>
      </w:r>
      <w:r w:rsidR="00547D7E" w:rsidRPr="003D6532">
        <w:rPr>
          <w:lang w:val="en-US"/>
        </w:rPr>
        <w:t>This does not</w:t>
      </w:r>
      <w:r w:rsidR="00E273A5" w:rsidRPr="003D6532">
        <w:rPr>
          <w:lang w:val="en-US"/>
        </w:rPr>
        <w:t xml:space="preserve"> affect the previously reported patterns for </w:t>
      </w:r>
      <w:r w:rsidR="00D5219B">
        <w:rPr>
          <w:lang w:val="en-US"/>
        </w:rPr>
        <w:t xml:space="preserve">the </w:t>
      </w:r>
      <w:r w:rsidR="00E273A5" w:rsidRPr="003D6532">
        <w:rPr>
          <w:lang w:val="en-US"/>
        </w:rPr>
        <w:t>TIMSS models,</w:t>
      </w:r>
      <w:r w:rsidR="00547D7E" w:rsidRPr="003D6532">
        <w:rPr>
          <w:lang w:val="en-US"/>
        </w:rPr>
        <w:t xml:space="preserve"> </w:t>
      </w:r>
      <w:r w:rsidR="00A44EFA">
        <w:rPr>
          <w:lang w:val="en-US"/>
        </w:rPr>
        <w:t>indicating</w:t>
      </w:r>
      <w:r w:rsidR="00A44EFA" w:rsidRPr="003D6532">
        <w:rPr>
          <w:lang w:val="en-US"/>
        </w:rPr>
        <w:t xml:space="preserve"> </w:t>
      </w:r>
      <w:r w:rsidR="00547D7E" w:rsidRPr="003D6532">
        <w:rPr>
          <w:lang w:val="en-US"/>
        </w:rPr>
        <w:t>that possible</w:t>
      </w:r>
      <w:r w:rsidR="00E273A5" w:rsidRPr="003D6532">
        <w:rPr>
          <w:lang w:val="en-US"/>
        </w:rPr>
        <w:t xml:space="preserve"> sample bia</w:t>
      </w:r>
      <w:r w:rsidR="00547D7E" w:rsidRPr="003D6532">
        <w:rPr>
          <w:lang w:val="en-US"/>
        </w:rPr>
        <w:t xml:space="preserve">s is not the source of </w:t>
      </w:r>
      <w:r w:rsidR="00A44EFA">
        <w:rPr>
          <w:lang w:val="en-US"/>
        </w:rPr>
        <w:t xml:space="preserve">the </w:t>
      </w:r>
      <w:r w:rsidR="00547D7E" w:rsidRPr="003D6532">
        <w:rPr>
          <w:lang w:val="en-US"/>
        </w:rPr>
        <w:t>inconsistency</w:t>
      </w:r>
      <w:r w:rsidR="0013002D" w:rsidRPr="003D6532">
        <w:rPr>
          <w:lang w:val="en-US"/>
        </w:rPr>
        <w:t>.</w:t>
      </w:r>
    </w:p>
    <w:p w14:paraId="1D9696ED" w14:textId="1C5E7F7F" w:rsidR="00C5703C" w:rsidRPr="003D6532" w:rsidRDefault="0013002D" w:rsidP="00C5703C">
      <w:pPr>
        <w:rPr>
          <w:lang w:val="en-US"/>
        </w:rPr>
      </w:pPr>
      <w:r w:rsidRPr="003D6532">
        <w:rPr>
          <w:lang w:val="en-US"/>
        </w:rPr>
        <w:t xml:space="preserve"> </w:t>
      </w:r>
      <w:r w:rsidR="006E43CC" w:rsidRPr="003D6532">
        <w:rPr>
          <w:lang w:val="en-US"/>
        </w:rPr>
        <w:t xml:space="preserve">To </w:t>
      </w:r>
      <w:r w:rsidRPr="003D6532">
        <w:rPr>
          <w:lang w:val="en-US"/>
        </w:rPr>
        <w:t xml:space="preserve">test </w:t>
      </w:r>
      <w:r w:rsidR="006E3DEC" w:rsidRPr="003D6532">
        <w:rPr>
          <w:lang w:val="en-US"/>
        </w:rPr>
        <w:t>the plausibility of the second</w:t>
      </w:r>
      <w:r w:rsidR="00596674" w:rsidRPr="003D6532">
        <w:rPr>
          <w:lang w:val="en-US"/>
        </w:rPr>
        <w:t>,</w:t>
      </w:r>
      <w:r w:rsidR="006E3DEC" w:rsidRPr="003D6532">
        <w:rPr>
          <w:lang w:val="en-US"/>
        </w:rPr>
        <w:t xml:space="preserve"> more substantive argument</w:t>
      </w:r>
      <w:r w:rsidR="006E43CC" w:rsidRPr="003D6532">
        <w:rPr>
          <w:lang w:val="en-US"/>
        </w:rPr>
        <w:t xml:space="preserve">, we </w:t>
      </w:r>
      <w:r w:rsidR="00A44EFA">
        <w:rPr>
          <w:lang w:val="en-US"/>
        </w:rPr>
        <w:t xml:space="preserve">use </w:t>
      </w:r>
      <w:r w:rsidR="00985C8A" w:rsidRPr="003D6532">
        <w:rPr>
          <w:lang w:val="en-US"/>
        </w:rPr>
        <w:t>the USE</w:t>
      </w:r>
      <w:r w:rsidR="00D97975" w:rsidRPr="003D6532">
        <w:rPr>
          <w:lang w:val="en-US"/>
        </w:rPr>
        <w:t xml:space="preserve"> </w:t>
      </w:r>
      <w:r w:rsidR="00985C8A" w:rsidRPr="003D6532">
        <w:rPr>
          <w:lang w:val="en-US"/>
        </w:rPr>
        <w:t xml:space="preserve">scores reported by </w:t>
      </w:r>
      <w:proofErr w:type="spellStart"/>
      <w:r w:rsidR="00985C8A" w:rsidRPr="003D6532">
        <w:rPr>
          <w:lang w:val="en-US"/>
        </w:rPr>
        <w:t>TrEC</w:t>
      </w:r>
      <w:proofErr w:type="spellEnd"/>
      <w:r w:rsidR="00985C8A" w:rsidRPr="003D6532">
        <w:rPr>
          <w:lang w:val="en-US"/>
        </w:rPr>
        <w:t xml:space="preserve"> </w:t>
      </w:r>
      <w:r w:rsidR="00961BDD" w:rsidRPr="003D6532">
        <w:rPr>
          <w:lang w:val="en-US"/>
        </w:rPr>
        <w:t xml:space="preserve">participants </w:t>
      </w:r>
      <w:r w:rsidR="00985C8A" w:rsidRPr="003D6532">
        <w:rPr>
          <w:lang w:val="en-US"/>
        </w:rPr>
        <w:t>after</w:t>
      </w:r>
      <w:r w:rsidR="00C774DA" w:rsidRPr="003D6532">
        <w:rPr>
          <w:lang w:val="en-US"/>
        </w:rPr>
        <w:t xml:space="preserve"> </w:t>
      </w:r>
      <w:r w:rsidR="00985C8A" w:rsidRPr="003D6532">
        <w:rPr>
          <w:lang w:val="en-US"/>
        </w:rPr>
        <w:t>11</w:t>
      </w:r>
      <w:r w:rsidR="00985C8A" w:rsidRPr="003D6532">
        <w:rPr>
          <w:vertAlign w:val="superscript"/>
          <w:lang w:val="en-US"/>
        </w:rPr>
        <w:t>th</w:t>
      </w:r>
      <w:r w:rsidR="00985C8A" w:rsidRPr="003D6532">
        <w:rPr>
          <w:lang w:val="en-US"/>
        </w:rPr>
        <w:t xml:space="preserve"> grade</w:t>
      </w:r>
      <w:r w:rsidR="00B01891" w:rsidRPr="003D6532">
        <w:rPr>
          <w:lang w:val="en-US"/>
        </w:rPr>
        <w:t xml:space="preserve"> (Wave 4)</w:t>
      </w:r>
      <w:r w:rsidR="00985C8A" w:rsidRPr="003D6532">
        <w:rPr>
          <w:lang w:val="en-US"/>
        </w:rPr>
        <w:t xml:space="preserve">. </w:t>
      </w:r>
      <w:r w:rsidR="00985C8A" w:rsidRPr="003D6532">
        <w:rPr>
          <w:lang w:val="en-US"/>
        </w:rPr>
        <w:fldChar w:fldCharType="begin"/>
      </w:r>
      <w:r w:rsidR="00985C8A" w:rsidRPr="003D6532">
        <w:rPr>
          <w:lang w:val="en-US"/>
        </w:rPr>
        <w:instrText xml:space="preserve"> REF _Ref475900201 \h </w:instrText>
      </w:r>
      <w:r w:rsidR="00F87E8D" w:rsidRPr="003D6532">
        <w:rPr>
          <w:lang w:val="en-US"/>
        </w:rPr>
        <w:instrText xml:space="preserve"> \* MERGEFORMAT </w:instrText>
      </w:r>
      <w:r w:rsidR="00985C8A" w:rsidRPr="003D6532">
        <w:rPr>
          <w:lang w:val="en-US"/>
        </w:rPr>
      </w:r>
      <w:r w:rsidR="00985C8A" w:rsidRPr="003D6532">
        <w:rPr>
          <w:lang w:val="en-US"/>
        </w:rPr>
        <w:fldChar w:fldCharType="separate"/>
      </w:r>
      <w:r w:rsidR="00985C8A" w:rsidRPr="003D6532">
        <w:rPr>
          <w:lang w:val="en-US"/>
        </w:rPr>
        <w:t>Table 3</w:t>
      </w:r>
      <w:r w:rsidR="00985C8A" w:rsidRPr="003D6532">
        <w:rPr>
          <w:lang w:val="en-US"/>
        </w:rPr>
        <w:fldChar w:fldCharType="end"/>
      </w:r>
      <w:r w:rsidR="00985C8A" w:rsidRPr="003D6532">
        <w:rPr>
          <w:lang w:val="en-US"/>
        </w:rPr>
        <w:t xml:space="preserve"> </w:t>
      </w:r>
      <w:r w:rsidR="00596674" w:rsidRPr="003D6532">
        <w:rPr>
          <w:lang w:val="en-US"/>
        </w:rPr>
        <w:t>contains</w:t>
      </w:r>
      <w:r w:rsidR="00985C8A" w:rsidRPr="003D6532">
        <w:rPr>
          <w:lang w:val="en-US"/>
        </w:rPr>
        <w:t xml:space="preserve"> correlations between USE </w:t>
      </w:r>
      <w:r w:rsidR="00596674" w:rsidRPr="003D6532">
        <w:rPr>
          <w:lang w:val="en-US"/>
        </w:rPr>
        <w:t xml:space="preserve">scores in Russian and math – </w:t>
      </w:r>
      <w:r w:rsidR="00985C8A" w:rsidRPr="003D6532">
        <w:rPr>
          <w:lang w:val="en-US"/>
        </w:rPr>
        <w:t>two obligatory subjects taken by all seco</w:t>
      </w:r>
      <w:r w:rsidR="00596674" w:rsidRPr="003D6532">
        <w:rPr>
          <w:lang w:val="en-US"/>
        </w:rPr>
        <w:t>ndary general school graduates –</w:t>
      </w:r>
      <w:r w:rsidR="00985C8A" w:rsidRPr="003D6532">
        <w:rPr>
          <w:lang w:val="en-US"/>
        </w:rPr>
        <w:t xml:space="preserve"> and all the 6 measures</w:t>
      </w:r>
      <w:r w:rsidR="00596674" w:rsidRPr="003D6532">
        <w:rPr>
          <w:lang w:val="en-US"/>
        </w:rPr>
        <w:t xml:space="preserve"> of scholastic ability</w:t>
      </w:r>
      <w:r w:rsidR="00985C8A" w:rsidRPr="003D6532">
        <w:rPr>
          <w:lang w:val="en-US"/>
        </w:rPr>
        <w:t xml:space="preserve"> employed in our </w:t>
      </w:r>
      <w:r w:rsidR="00985C8A" w:rsidRPr="003D6532">
        <w:rPr>
          <w:lang w:val="en-US"/>
        </w:rPr>
        <w:lastRenderedPageBreak/>
        <w:t xml:space="preserve">analyses. </w:t>
      </w:r>
      <w:r w:rsidR="001F25BA" w:rsidRPr="003D6532">
        <w:rPr>
          <w:lang w:val="en-US"/>
        </w:rPr>
        <w:t>According to our comparison</w:t>
      </w:r>
      <w:r w:rsidR="00F32721" w:rsidRPr="003D6532">
        <w:rPr>
          <w:lang w:val="en-US"/>
        </w:rPr>
        <w:t xml:space="preserve">, </w:t>
      </w:r>
      <w:r w:rsidR="00A44EFA">
        <w:rPr>
          <w:lang w:val="en-US"/>
        </w:rPr>
        <w:t xml:space="preserve">the </w:t>
      </w:r>
      <w:r w:rsidR="00B378A6" w:rsidRPr="003D6532">
        <w:rPr>
          <w:lang w:val="en-US"/>
        </w:rPr>
        <w:t>TIMSS</w:t>
      </w:r>
      <w:r w:rsidR="00F32721" w:rsidRPr="003D6532">
        <w:rPr>
          <w:lang w:val="en-US"/>
        </w:rPr>
        <w:t xml:space="preserve"> measures do not outperform the rest of our measures in </w:t>
      </w:r>
      <w:r w:rsidR="00A44EFA">
        <w:rPr>
          <w:lang w:val="en-US"/>
        </w:rPr>
        <w:t xml:space="preserve">terms of their </w:t>
      </w:r>
      <w:r w:rsidR="00F32721" w:rsidRPr="003D6532">
        <w:rPr>
          <w:lang w:val="en-US"/>
        </w:rPr>
        <w:t xml:space="preserve">correlations with USE scores. </w:t>
      </w:r>
      <w:r w:rsidR="0017175E" w:rsidRPr="003D6532">
        <w:rPr>
          <w:lang w:val="en-US"/>
        </w:rPr>
        <w:t>In fact, they are much less predictive of the USE scores in Russian</w:t>
      </w:r>
      <w:r w:rsidR="00A44EFA">
        <w:rPr>
          <w:lang w:val="en-US"/>
        </w:rPr>
        <w:t xml:space="preserve"> </w:t>
      </w:r>
      <w:r w:rsidR="0017175E" w:rsidRPr="003D6532">
        <w:rPr>
          <w:lang w:val="en-US"/>
        </w:rPr>
        <w:t xml:space="preserve">than PISA scores and our composite ability measure. </w:t>
      </w:r>
      <w:r w:rsidR="00CA7A02" w:rsidRPr="003D6532">
        <w:rPr>
          <w:lang w:val="en-US"/>
        </w:rPr>
        <w:t>The</w:t>
      </w:r>
      <w:r w:rsidR="00C774DA" w:rsidRPr="003D6532">
        <w:rPr>
          <w:lang w:val="en-US"/>
        </w:rPr>
        <w:t xml:space="preserve"> following</w:t>
      </w:r>
      <w:r w:rsidR="00CA7A02" w:rsidRPr="003D6532">
        <w:rPr>
          <w:lang w:val="en-US"/>
        </w:rPr>
        <w:t xml:space="preserve"> </w:t>
      </w:r>
      <w:r w:rsidR="00F32721" w:rsidRPr="003D6532">
        <w:rPr>
          <w:lang w:val="en-US"/>
        </w:rPr>
        <w:t xml:space="preserve">tentative explanation </w:t>
      </w:r>
      <w:r w:rsidR="00547D7E" w:rsidRPr="003D6532">
        <w:rPr>
          <w:lang w:val="en-US"/>
        </w:rPr>
        <w:t>can be put forward</w:t>
      </w:r>
      <w:r w:rsidR="00F32721" w:rsidRPr="003D6532">
        <w:rPr>
          <w:lang w:val="en-US"/>
        </w:rPr>
        <w:t xml:space="preserve">. </w:t>
      </w:r>
      <w:r w:rsidR="0017175E" w:rsidRPr="003D6532">
        <w:rPr>
          <w:lang w:val="en-US"/>
        </w:rPr>
        <w:t xml:space="preserve">PISA assessments, which are said to be </w:t>
      </w:r>
      <w:r w:rsidR="009F28F5" w:rsidRPr="003D6532">
        <w:rPr>
          <w:lang w:val="en-US"/>
        </w:rPr>
        <w:t>less subject</w:t>
      </w:r>
      <w:r w:rsidR="00A44EFA">
        <w:rPr>
          <w:lang w:val="en-US"/>
        </w:rPr>
        <w:t xml:space="preserve"> </w:t>
      </w:r>
      <w:r w:rsidR="0017175E" w:rsidRPr="003D6532">
        <w:rPr>
          <w:lang w:val="en-US"/>
        </w:rPr>
        <w:t xml:space="preserve">specific </w:t>
      </w:r>
      <w:r w:rsidR="009F28F5" w:rsidRPr="003D6532">
        <w:rPr>
          <w:lang w:val="en-US"/>
        </w:rPr>
        <w:t>and less attached to the national school curricula</w:t>
      </w:r>
      <w:r w:rsidR="006A4264" w:rsidRPr="003D6532">
        <w:rPr>
          <w:lang w:val="en-US"/>
        </w:rPr>
        <w:t xml:space="preserve"> </w:t>
      </w:r>
      <w:r w:rsidR="0042477D" w:rsidRPr="003D6532">
        <w:rPr>
          <w:rFonts w:cs="Times New Roman"/>
          <w:szCs w:val="24"/>
          <w:lang w:val="en-US"/>
        </w:rPr>
        <w:t>(</w:t>
      </w:r>
      <w:proofErr w:type="spellStart"/>
      <w:r w:rsidR="00AD3F1F" w:rsidRPr="003D6532">
        <w:rPr>
          <w:rFonts w:cs="Times New Roman"/>
          <w:szCs w:val="24"/>
          <w:lang w:val="en-US"/>
        </w:rPr>
        <w:t>Tyumeneva</w:t>
      </w:r>
      <w:proofErr w:type="spellEnd"/>
      <w:r w:rsidR="0042477D" w:rsidRPr="003D6532">
        <w:rPr>
          <w:rFonts w:cs="Times New Roman"/>
          <w:szCs w:val="24"/>
          <w:lang w:val="en-US"/>
        </w:rPr>
        <w:t xml:space="preserve"> et al. 2014)</w:t>
      </w:r>
      <w:r w:rsidR="009F28F5" w:rsidRPr="003D6532">
        <w:rPr>
          <w:lang w:val="en-US"/>
        </w:rPr>
        <w:t xml:space="preserve">, </w:t>
      </w:r>
      <w:r w:rsidR="00C774DA" w:rsidRPr="003D6532">
        <w:rPr>
          <w:lang w:val="en-US"/>
        </w:rPr>
        <w:t>evaluate</w:t>
      </w:r>
      <w:r w:rsidR="009F28F5" w:rsidRPr="003D6532">
        <w:rPr>
          <w:lang w:val="en-US"/>
        </w:rPr>
        <w:t xml:space="preserve"> competencies</w:t>
      </w:r>
      <w:r w:rsidR="00C774DA" w:rsidRPr="003D6532">
        <w:rPr>
          <w:lang w:val="en-US"/>
        </w:rPr>
        <w:t xml:space="preserve"> that are</w:t>
      </w:r>
      <w:r w:rsidR="009F28F5" w:rsidRPr="003D6532">
        <w:rPr>
          <w:lang w:val="en-US"/>
        </w:rPr>
        <w:t xml:space="preserve"> </w:t>
      </w:r>
      <w:r w:rsidR="00CA7A02" w:rsidRPr="003D6532">
        <w:rPr>
          <w:lang w:val="en-US"/>
        </w:rPr>
        <w:t>applicable</w:t>
      </w:r>
      <w:r w:rsidR="009F28F5" w:rsidRPr="003D6532">
        <w:rPr>
          <w:lang w:val="en-US"/>
        </w:rPr>
        <w:t xml:space="preserve"> in a wider array of contexts</w:t>
      </w:r>
      <w:r w:rsidR="00C774DA" w:rsidRPr="003D6532">
        <w:rPr>
          <w:lang w:val="en-US"/>
        </w:rPr>
        <w:t xml:space="preserve"> than the more focused and curriculum-based TIMSS assessment</w:t>
      </w:r>
      <w:r w:rsidR="009F28F5" w:rsidRPr="003D6532">
        <w:rPr>
          <w:lang w:val="en-US"/>
        </w:rPr>
        <w:t>. In other words, rather than measuring</w:t>
      </w:r>
      <w:r w:rsidR="00F930EA" w:rsidRPr="003D6532">
        <w:rPr>
          <w:lang w:val="en-US"/>
        </w:rPr>
        <w:t xml:space="preserve"> the degree of</w:t>
      </w:r>
      <w:r w:rsidR="009F28F5" w:rsidRPr="003D6532">
        <w:rPr>
          <w:lang w:val="en-US"/>
        </w:rPr>
        <w:t xml:space="preserve"> mastership of a specific </w:t>
      </w:r>
      <w:r w:rsidR="00F930EA" w:rsidRPr="003D6532">
        <w:rPr>
          <w:lang w:val="en-US"/>
        </w:rPr>
        <w:t xml:space="preserve">set of skills, </w:t>
      </w:r>
      <w:r w:rsidR="00C774DA" w:rsidRPr="003D6532">
        <w:rPr>
          <w:lang w:val="en-US"/>
        </w:rPr>
        <w:t xml:space="preserve">PISA </w:t>
      </w:r>
      <w:r w:rsidR="00F930EA" w:rsidRPr="003D6532">
        <w:rPr>
          <w:lang w:val="en-US"/>
        </w:rPr>
        <w:t>might</w:t>
      </w:r>
      <w:r w:rsidR="00C774DA" w:rsidRPr="003D6532">
        <w:rPr>
          <w:lang w:val="en-US"/>
        </w:rPr>
        <w:t xml:space="preserve"> be</w:t>
      </w:r>
      <w:r w:rsidR="00F930EA" w:rsidRPr="003D6532">
        <w:rPr>
          <w:lang w:val="en-US"/>
        </w:rPr>
        <w:t xml:space="preserve"> captur</w:t>
      </w:r>
      <w:r w:rsidR="00C774DA" w:rsidRPr="003D6532">
        <w:rPr>
          <w:lang w:val="en-US"/>
        </w:rPr>
        <w:t>ing</w:t>
      </w:r>
      <w:r w:rsidR="00F930EA" w:rsidRPr="003D6532">
        <w:rPr>
          <w:lang w:val="en-US"/>
        </w:rPr>
        <w:t xml:space="preserve"> skills</w:t>
      </w:r>
      <w:r w:rsidR="00A44EFA">
        <w:rPr>
          <w:lang w:val="en-US"/>
        </w:rPr>
        <w:t xml:space="preserve"> that </w:t>
      </w:r>
      <w:r w:rsidR="00C774DA" w:rsidRPr="003D6532">
        <w:rPr>
          <w:lang w:val="en-US"/>
        </w:rPr>
        <w:t xml:space="preserve">facilitate </w:t>
      </w:r>
      <w:r w:rsidR="00F930EA" w:rsidRPr="003D6532">
        <w:rPr>
          <w:lang w:val="en-US"/>
        </w:rPr>
        <w:t>learning in the broader sense</w:t>
      </w:r>
      <w:r w:rsidR="00CA7A02" w:rsidRPr="003D6532">
        <w:rPr>
          <w:lang w:val="en-US"/>
        </w:rPr>
        <w:t>. A</w:t>
      </w:r>
      <w:r w:rsidR="009F28F5" w:rsidRPr="003D6532">
        <w:rPr>
          <w:lang w:val="en-US"/>
        </w:rPr>
        <w:t>s such</w:t>
      </w:r>
      <w:r w:rsidR="00CA7A02" w:rsidRPr="003D6532">
        <w:rPr>
          <w:lang w:val="en-US"/>
        </w:rPr>
        <w:t>,</w:t>
      </w:r>
      <w:r w:rsidR="009F28F5" w:rsidRPr="003D6532">
        <w:rPr>
          <w:lang w:val="en-US"/>
        </w:rPr>
        <w:t xml:space="preserve"> </w:t>
      </w:r>
      <w:r w:rsidR="00CA7A02" w:rsidRPr="003D6532">
        <w:rPr>
          <w:lang w:val="en-US"/>
        </w:rPr>
        <w:t>PISA assessments</w:t>
      </w:r>
      <w:r w:rsidR="00CA7A02" w:rsidRPr="003D6532" w:rsidDel="00CA7A02">
        <w:rPr>
          <w:lang w:val="en-US"/>
        </w:rPr>
        <w:t xml:space="preserve"> </w:t>
      </w:r>
      <w:r w:rsidR="009F28F5" w:rsidRPr="003D6532">
        <w:rPr>
          <w:lang w:val="en-US"/>
        </w:rPr>
        <w:t xml:space="preserve">might </w:t>
      </w:r>
      <w:r w:rsidR="00C774DA" w:rsidRPr="003D6532">
        <w:rPr>
          <w:lang w:val="en-US"/>
        </w:rPr>
        <w:t xml:space="preserve">actually </w:t>
      </w:r>
      <w:r w:rsidR="009F28F5" w:rsidRPr="003D6532">
        <w:rPr>
          <w:lang w:val="en-US"/>
        </w:rPr>
        <w:t>be more appropriate as more general</w:t>
      </w:r>
      <w:r w:rsidR="00F930EA" w:rsidRPr="003D6532">
        <w:rPr>
          <w:lang w:val="en-US"/>
        </w:rPr>
        <w:t xml:space="preserve"> proxies </w:t>
      </w:r>
      <w:r w:rsidR="00C5703C" w:rsidRPr="003D6532">
        <w:rPr>
          <w:lang w:val="en-US"/>
        </w:rPr>
        <w:t xml:space="preserve">of scholastic ability. In any case, we can conclude that </w:t>
      </w:r>
      <w:r w:rsidR="006F3024" w:rsidRPr="003D6532">
        <w:rPr>
          <w:lang w:val="en-US"/>
        </w:rPr>
        <w:t>the inconsistencies produced by TIMMS scores in our models</w:t>
      </w:r>
      <w:r w:rsidR="00102C83" w:rsidRPr="003D6532">
        <w:rPr>
          <w:lang w:val="en-US"/>
        </w:rPr>
        <w:t xml:space="preserve"> </w:t>
      </w:r>
      <w:r w:rsidR="00547D7E" w:rsidRPr="003D6532">
        <w:rPr>
          <w:lang w:val="en-US"/>
        </w:rPr>
        <w:t xml:space="preserve">are </w:t>
      </w:r>
      <w:r w:rsidR="007F75C3" w:rsidRPr="003D6532">
        <w:rPr>
          <w:lang w:val="en-US"/>
        </w:rPr>
        <w:t>not a strong argument</w:t>
      </w:r>
      <w:r w:rsidR="00547D7E" w:rsidRPr="003D6532">
        <w:rPr>
          <w:lang w:val="en-US"/>
        </w:rPr>
        <w:t xml:space="preserve"> against </w:t>
      </w:r>
      <w:r w:rsidR="00A44EFA">
        <w:rPr>
          <w:lang w:val="en-US"/>
        </w:rPr>
        <w:t xml:space="preserve">our </w:t>
      </w:r>
      <w:r w:rsidR="00547D7E" w:rsidRPr="003D6532">
        <w:rPr>
          <w:lang w:val="en-US"/>
        </w:rPr>
        <w:t>interpretation</w:t>
      </w:r>
      <w:r w:rsidR="007F75C3" w:rsidRPr="003D6532">
        <w:rPr>
          <w:lang w:val="en-US"/>
        </w:rPr>
        <w:t xml:space="preserve"> </w:t>
      </w:r>
      <w:r w:rsidR="00A44EFA">
        <w:rPr>
          <w:lang w:val="en-US"/>
        </w:rPr>
        <w:t xml:space="preserve">of </w:t>
      </w:r>
      <w:r w:rsidR="00547D7E" w:rsidRPr="003D6532">
        <w:rPr>
          <w:lang w:val="en-US"/>
        </w:rPr>
        <w:t>our findings.</w:t>
      </w:r>
    </w:p>
    <w:p w14:paraId="315D75E5" w14:textId="77777777" w:rsidR="00C57DCE" w:rsidRPr="003D6532" w:rsidRDefault="00C57DCE" w:rsidP="00C5703C">
      <w:pPr>
        <w:rPr>
          <w:lang w:val="en-US"/>
        </w:rPr>
      </w:pPr>
    </w:p>
    <w:p w14:paraId="6980AD27" w14:textId="77777777" w:rsidR="00C57DCE" w:rsidRPr="003D6532" w:rsidRDefault="00C57DCE" w:rsidP="00C57DCE">
      <w:pPr>
        <w:pStyle w:val="Caption"/>
        <w:rPr>
          <w:lang w:val="en-US"/>
        </w:rPr>
      </w:pPr>
      <w:r w:rsidRPr="003D6532">
        <w:rPr>
          <w:lang w:val="en-US"/>
        </w:rPr>
        <w:t xml:space="preserve">Table </w:t>
      </w:r>
      <w:r w:rsidRPr="003D6532">
        <w:rPr>
          <w:lang w:val="en-US"/>
        </w:rPr>
        <w:fldChar w:fldCharType="begin"/>
      </w:r>
      <w:r w:rsidRPr="003D6532">
        <w:rPr>
          <w:lang w:val="en-US"/>
        </w:rPr>
        <w:instrText xml:space="preserve"> SEQ Table \* ARABIC </w:instrText>
      </w:r>
      <w:r w:rsidRPr="003D6532">
        <w:rPr>
          <w:lang w:val="en-US"/>
        </w:rPr>
        <w:fldChar w:fldCharType="separate"/>
      </w:r>
      <w:r w:rsidR="00913AC6" w:rsidRPr="003D6532">
        <w:rPr>
          <w:lang w:val="en-US"/>
        </w:rPr>
        <w:t>3</w:t>
      </w:r>
      <w:r w:rsidRPr="003D6532">
        <w:rPr>
          <w:lang w:val="en-US"/>
        </w:rPr>
        <w:fldChar w:fldCharType="end"/>
      </w:r>
      <w:r w:rsidRPr="003D6532">
        <w:rPr>
          <w:lang w:val="en-US"/>
        </w:rPr>
        <w:t xml:space="preserve"> about here</w:t>
      </w:r>
    </w:p>
    <w:p w14:paraId="3528B1FA" w14:textId="77777777" w:rsidR="00DF78B6" w:rsidRPr="003D6532" w:rsidRDefault="00DF78B6" w:rsidP="00DF78B6">
      <w:pPr>
        <w:rPr>
          <w:lang w:val="en-US"/>
        </w:rPr>
      </w:pPr>
    </w:p>
    <w:p w14:paraId="7540A047" w14:textId="43E194A0" w:rsidR="00DF78B6" w:rsidRPr="003D6532" w:rsidRDefault="000E1F74" w:rsidP="00DF78B6">
      <w:pPr>
        <w:pStyle w:val="Heading1"/>
        <w:rPr>
          <w:lang w:val="en-US"/>
        </w:rPr>
      </w:pPr>
      <w:r w:rsidRPr="003D6532">
        <w:rPr>
          <w:lang w:val="en-US"/>
        </w:rPr>
        <w:t>6</w:t>
      </w:r>
      <w:r w:rsidR="00DF78B6" w:rsidRPr="003D6532">
        <w:rPr>
          <w:lang w:val="en-US"/>
        </w:rPr>
        <w:t xml:space="preserve">. </w:t>
      </w:r>
      <w:r w:rsidR="001F16C4" w:rsidRPr="003D6532">
        <w:rPr>
          <w:lang w:val="en-US"/>
        </w:rPr>
        <w:t>Discussion and c</w:t>
      </w:r>
      <w:r w:rsidR="00DF78B6" w:rsidRPr="003D6532">
        <w:rPr>
          <w:lang w:val="en-US"/>
        </w:rPr>
        <w:t>onclusion</w:t>
      </w:r>
      <w:r w:rsidR="001F16C4" w:rsidRPr="003D6532">
        <w:rPr>
          <w:lang w:val="en-US"/>
        </w:rPr>
        <w:t>s</w:t>
      </w:r>
    </w:p>
    <w:p w14:paraId="4B51C98A" w14:textId="2CE90361" w:rsidR="00CB3312" w:rsidRPr="003D6532" w:rsidRDefault="00596674" w:rsidP="00847537">
      <w:pPr>
        <w:rPr>
          <w:lang w:val="en-US"/>
        </w:rPr>
      </w:pPr>
      <w:r w:rsidRPr="003D6532">
        <w:rPr>
          <w:lang w:val="en-US"/>
        </w:rPr>
        <w:t xml:space="preserve">What do we make of our results? </w:t>
      </w:r>
      <w:r w:rsidR="00EE4DB0" w:rsidRPr="003D6532">
        <w:rPr>
          <w:lang w:val="en-US"/>
        </w:rPr>
        <w:t>On the one hand, our evidence</w:t>
      </w:r>
      <w:r w:rsidR="009B740B" w:rsidRPr="003D6532">
        <w:rPr>
          <w:lang w:val="en-US"/>
        </w:rPr>
        <w:t xml:space="preserve"> </w:t>
      </w:r>
      <w:r w:rsidR="00EE4DB0" w:rsidRPr="003D6532">
        <w:rPr>
          <w:lang w:val="en-US"/>
        </w:rPr>
        <w:t>suggests</w:t>
      </w:r>
      <w:r w:rsidR="00CB3312" w:rsidRPr="003D6532">
        <w:rPr>
          <w:lang w:val="en-US"/>
        </w:rPr>
        <w:t xml:space="preserve"> </w:t>
      </w:r>
      <w:r w:rsidR="00EE4DB0" w:rsidRPr="003D6532">
        <w:rPr>
          <w:lang w:val="en-US"/>
        </w:rPr>
        <w:t>that</w:t>
      </w:r>
      <w:r w:rsidR="009B740B" w:rsidRPr="003D6532">
        <w:rPr>
          <w:lang w:val="en-US"/>
        </w:rPr>
        <w:t xml:space="preserve"> in Russia</w:t>
      </w:r>
      <w:r w:rsidR="00B37395" w:rsidRPr="003D6532">
        <w:rPr>
          <w:lang w:val="en-US"/>
        </w:rPr>
        <w:t>,</w:t>
      </w:r>
      <w:r w:rsidR="00EE4DB0" w:rsidRPr="003D6532">
        <w:rPr>
          <w:lang w:val="en-US"/>
        </w:rPr>
        <w:t xml:space="preserve"> </w:t>
      </w:r>
      <w:r w:rsidR="000124D3" w:rsidRPr="003D6532">
        <w:rPr>
          <w:lang w:val="en-US"/>
        </w:rPr>
        <w:t xml:space="preserve">secondary vocational schools </w:t>
      </w:r>
      <w:r w:rsidR="00B0619B" w:rsidRPr="003D6532">
        <w:rPr>
          <w:lang w:val="en-US"/>
        </w:rPr>
        <w:t>as providers of access to higher education</w:t>
      </w:r>
      <w:r w:rsidR="009B740B" w:rsidRPr="003D6532">
        <w:rPr>
          <w:lang w:val="en-US"/>
        </w:rPr>
        <w:t xml:space="preserve"> might</w:t>
      </w:r>
      <w:r w:rsidR="00B0619B" w:rsidRPr="003D6532">
        <w:rPr>
          <w:lang w:val="en-US"/>
        </w:rPr>
        <w:t xml:space="preserve"> </w:t>
      </w:r>
      <w:r w:rsidR="00F05351" w:rsidRPr="003D6532">
        <w:rPr>
          <w:lang w:val="en-US"/>
        </w:rPr>
        <w:t>indeed</w:t>
      </w:r>
      <w:r w:rsidR="000124D3" w:rsidRPr="003D6532">
        <w:rPr>
          <w:lang w:val="en-US"/>
        </w:rPr>
        <w:t xml:space="preserve"> </w:t>
      </w:r>
      <w:r w:rsidR="00B0619B" w:rsidRPr="003D6532">
        <w:rPr>
          <w:lang w:val="en-US"/>
        </w:rPr>
        <w:t xml:space="preserve">act as </w:t>
      </w:r>
      <w:r w:rsidR="00064663">
        <w:rPr>
          <w:lang w:val="en-US"/>
        </w:rPr>
        <w:t xml:space="preserve">an </w:t>
      </w:r>
      <w:r w:rsidR="00B0619B" w:rsidRPr="003D6532">
        <w:rPr>
          <w:lang w:val="en-US"/>
        </w:rPr>
        <w:t>institutional mechanism</w:t>
      </w:r>
      <w:r w:rsidR="004C778B" w:rsidRPr="003D6532">
        <w:rPr>
          <w:lang w:val="en-US"/>
        </w:rPr>
        <w:t xml:space="preserve"> </w:t>
      </w:r>
      <w:r w:rsidR="00064663">
        <w:rPr>
          <w:lang w:val="en-US"/>
        </w:rPr>
        <w:t xml:space="preserve">that </w:t>
      </w:r>
      <w:r w:rsidR="00B0619B" w:rsidRPr="003D6532">
        <w:rPr>
          <w:lang w:val="en-US"/>
        </w:rPr>
        <w:t>reduc</w:t>
      </w:r>
      <w:r w:rsidR="004C778B" w:rsidRPr="003D6532">
        <w:rPr>
          <w:lang w:val="en-US"/>
        </w:rPr>
        <w:t>es</w:t>
      </w:r>
      <w:r w:rsidR="00B0619B" w:rsidRPr="003D6532">
        <w:rPr>
          <w:lang w:val="en-US"/>
        </w:rPr>
        <w:t xml:space="preserve"> social inequality</w:t>
      </w:r>
      <w:r w:rsidR="00F05351" w:rsidRPr="003D6532">
        <w:rPr>
          <w:lang w:val="en-US"/>
        </w:rPr>
        <w:t>.</w:t>
      </w:r>
      <w:r w:rsidR="00207CBD" w:rsidRPr="003D6532">
        <w:rPr>
          <w:lang w:val="en-US"/>
        </w:rPr>
        <w:t xml:space="preserve"> In </w:t>
      </w:r>
      <w:r w:rsidR="00064663">
        <w:rPr>
          <w:lang w:val="en-US"/>
        </w:rPr>
        <w:t xml:space="preserve">this </w:t>
      </w:r>
      <w:r w:rsidR="00207CBD" w:rsidRPr="003D6532">
        <w:rPr>
          <w:lang w:val="en-US"/>
        </w:rPr>
        <w:t>sense</w:t>
      </w:r>
      <w:r w:rsidR="00064663">
        <w:rPr>
          <w:lang w:val="en-US"/>
        </w:rPr>
        <w:t>,</w:t>
      </w:r>
      <w:r w:rsidR="00207CBD" w:rsidRPr="003D6532">
        <w:rPr>
          <w:lang w:val="en-US"/>
        </w:rPr>
        <w:t xml:space="preserve"> </w:t>
      </w:r>
      <w:r w:rsidR="002C2C09" w:rsidRPr="003D6532">
        <w:rPr>
          <w:lang w:val="en-US"/>
        </w:rPr>
        <w:t xml:space="preserve">our results </w:t>
      </w:r>
      <w:r w:rsidR="00207CBD" w:rsidRPr="003D6532">
        <w:rPr>
          <w:lang w:val="en-US"/>
        </w:rPr>
        <w:t>corroborate some previous findings</w:t>
      </w:r>
      <w:r w:rsidR="007F7F86" w:rsidRPr="003D6532">
        <w:rPr>
          <w:lang w:val="en-US"/>
        </w:rPr>
        <w:t xml:space="preserve"> </w:t>
      </w:r>
      <w:r w:rsidR="0042477D" w:rsidRPr="003D6532">
        <w:rPr>
          <w:rFonts w:cs="Times New Roman"/>
          <w:lang w:val="en-US"/>
        </w:rPr>
        <w:t>(e.g.</w:t>
      </w:r>
      <w:r w:rsidR="00064663">
        <w:rPr>
          <w:rFonts w:cs="Times New Roman"/>
          <w:lang w:val="en-US"/>
        </w:rPr>
        <w:t>,</w:t>
      </w:r>
      <w:r w:rsidR="0042477D" w:rsidRPr="003D6532">
        <w:rPr>
          <w:rFonts w:cs="Times New Roman"/>
          <w:lang w:val="en-US"/>
        </w:rPr>
        <w:t xml:space="preserve"> Holm et al. 2013; </w:t>
      </w:r>
      <w:proofErr w:type="spellStart"/>
      <w:r w:rsidR="0042477D" w:rsidRPr="003D6532">
        <w:rPr>
          <w:rFonts w:cs="Times New Roman"/>
          <w:lang w:val="en-US"/>
        </w:rPr>
        <w:t>Alexandrov</w:t>
      </w:r>
      <w:proofErr w:type="spellEnd"/>
      <w:r w:rsidR="0042477D" w:rsidRPr="003D6532">
        <w:rPr>
          <w:rFonts w:cs="Times New Roman"/>
          <w:lang w:val="en-US"/>
        </w:rPr>
        <w:t xml:space="preserve"> et al. 2015)</w:t>
      </w:r>
      <w:r w:rsidR="00207CBD" w:rsidRPr="003D6532">
        <w:rPr>
          <w:lang w:val="en-US"/>
        </w:rPr>
        <w:t>.</w:t>
      </w:r>
      <w:r w:rsidR="00D05904" w:rsidRPr="003D6532">
        <w:rPr>
          <w:lang w:val="en-US"/>
        </w:rPr>
        <w:t xml:space="preserve"> </w:t>
      </w:r>
      <w:r w:rsidR="002B0CF0" w:rsidRPr="003D6532">
        <w:rPr>
          <w:lang w:val="en-US"/>
        </w:rPr>
        <w:t>In particular, we found that</w:t>
      </w:r>
      <w:r w:rsidR="00064663">
        <w:rPr>
          <w:lang w:val="en-US"/>
        </w:rPr>
        <w:t xml:space="preserve"> </w:t>
      </w:r>
      <w:r w:rsidR="00D05904" w:rsidRPr="003D6532">
        <w:rPr>
          <w:lang w:val="en-US"/>
        </w:rPr>
        <w:t xml:space="preserve">compared </w:t>
      </w:r>
      <w:r w:rsidR="00064663">
        <w:rPr>
          <w:lang w:val="en-US"/>
        </w:rPr>
        <w:t xml:space="preserve">with </w:t>
      </w:r>
      <w:r w:rsidR="00D05904" w:rsidRPr="003D6532">
        <w:rPr>
          <w:lang w:val="en-US"/>
        </w:rPr>
        <w:t>the more traditional</w:t>
      </w:r>
      <w:r w:rsidR="00041968" w:rsidRPr="003D6532">
        <w:rPr>
          <w:lang w:val="en-US"/>
        </w:rPr>
        <w:t xml:space="preserve"> academic</w:t>
      </w:r>
      <w:r w:rsidR="00D05904" w:rsidRPr="003D6532">
        <w:rPr>
          <w:lang w:val="en-US"/>
        </w:rPr>
        <w:t xml:space="preserve"> </w:t>
      </w:r>
      <w:r w:rsidR="002C2C09" w:rsidRPr="003D6532">
        <w:rPr>
          <w:lang w:val="en-US"/>
        </w:rPr>
        <w:t xml:space="preserve">pathway </w:t>
      </w:r>
      <w:r w:rsidR="00D05904" w:rsidRPr="003D6532">
        <w:rPr>
          <w:lang w:val="en-US"/>
        </w:rPr>
        <w:t>to higher education</w:t>
      </w:r>
      <w:r w:rsidR="002C2C09" w:rsidRPr="003D6532">
        <w:rPr>
          <w:lang w:val="en-US"/>
        </w:rPr>
        <w:t>,</w:t>
      </w:r>
      <w:r w:rsidR="00D05904" w:rsidRPr="003D6532">
        <w:rPr>
          <w:lang w:val="en-US"/>
        </w:rPr>
        <w:t xml:space="preserve"> </w:t>
      </w:r>
      <w:r w:rsidR="00041968" w:rsidRPr="003D6532">
        <w:rPr>
          <w:lang w:val="en-US"/>
        </w:rPr>
        <w:t xml:space="preserve">pseudo-academic </w:t>
      </w:r>
      <w:r w:rsidR="002C2C09" w:rsidRPr="003D6532">
        <w:rPr>
          <w:lang w:val="en-US"/>
        </w:rPr>
        <w:t>pathways</w:t>
      </w:r>
      <w:r w:rsidR="00041968" w:rsidRPr="003D6532">
        <w:rPr>
          <w:lang w:val="en-US"/>
        </w:rPr>
        <w:t xml:space="preserve"> via secondary vocational schools</w:t>
      </w:r>
      <w:r w:rsidR="002C2C09" w:rsidRPr="003D6532">
        <w:rPr>
          <w:lang w:val="en-US"/>
        </w:rPr>
        <w:t xml:space="preserve"> </w:t>
      </w:r>
      <w:r w:rsidR="00847537" w:rsidRPr="003D6532">
        <w:rPr>
          <w:lang w:val="en-US"/>
        </w:rPr>
        <w:t xml:space="preserve">1) </w:t>
      </w:r>
      <w:r w:rsidR="002B0CF0" w:rsidRPr="003D6532">
        <w:rPr>
          <w:lang w:val="en-US"/>
        </w:rPr>
        <w:t>are less selective with regard to ability</w:t>
      </w:r>
      <w:r w:rsidR="005A221C" w:rsidRPr="003D6532">
        <w:rPr>
          <w:lang w:val="en-US"/>
        </w:rPr>
        <w:t xml:space="preserve"> (</w:t>
      </w:r>
      <w:r w:rsidR="002B0CF0" w:rsidRPr="003D6532">
        <w:rPr>
          <w:lang w:val="en-US"/>
        </w:rPr>
        <w:t>thus</w:t>
      </w:r>
      <w:r w:rsidR="00064663">
        <w:rPr>
          <w:lang w:val="en-US"/>
        </w:rPr>
        <w:t xml:space="preserve"> </w:t>
      </w:r>
      <w:r w:rsidR="002B0CF0" w:rsidRPr="003D6532">
        <w:rPr>
          <w:lang w:val="en-US"/>
        </w:rPr>
        <w:t>cut</w:t>
      </w:r>
      <w:r w:rsidR="005A221C" w:rsidRPr="003D6532">
        <w:rPr>
          <w:lang w:val="en-US"/>
        </w:rPr>
        <w:t>ting</w:t>
      </w:r>
      <w:r w:rsidR="002B0CF0" w:rsidRPr="003D6532">
        <w:rPr>
          <w:lang w:val="en-US"/>
        </w:rPr>
        <w:t xml:space="preserve"> the leverage for primary effects of social background</w:t>
      </w:r>
      <w:r w:rsidR="005A221C" w:rsidRPr="003D6532">
        <w:rPr>
          <w:lang w:val="en-US"/>
        </w:rPr>
        <w:t>)</w:t>
      </w:r>
      <w:r w:rsidR="002B0CF0" w:rsidRPr="003D6532">
        <w:rPr>
          <w:lang w:val="en-US"/>
        </w:rPr>
        <w:t xml:space="preserve"> and 2) </w:t>
      </w:r>
      <w:r w:rsidR="00847537" w:rsidRPr="003D6532">
        <w:rPr>
          <w:lang w:val="en-US"/>
        </w:rPr>
        <w:t>attenuate inequality in access to higher education associated with social background regardless of students’ abilities (i.e.</w:t>
      </w:r>
      <w:r w:rsidR="00064663">
        <w:rPr>
          <w:lang w:val="en-US"/>
        </w:rPr>
        <w:t>,</w:t>
      </w:r>
      <w:r w:rsidR="00847537" w:rsidRPr="003D6532">
        <w:rPr>
          <w:lang w:val="en-US"/>
        </w:rPr>
        <w:t xml:space="preserve"> reduce secondary effects of social background)</w:t>
      </w:r>
      <w:r w:rsidR="005A221C" w:rsidRPr="003D6532">
        <w:rPr>
          <w:lang w:val="en-US"/>
        </w:rPr>
        <w:t xml:space="preserve">. </w:t>
      </w:r>
      <w:r w:rsidR="004C778B" w:rsidRPr="003D6532">
        <w:rPr>
          <w:lang w:val="en-US"/>
        </w:rPr>
        <w:t xml:space="preserve">The </w:t>
      </w:r>
      <w:r w:rsidR="004C778B" w:rsidRPr="003D6532">
        <w:rPr>
          <w:lang w:val="en-US"/>
        </w:rPr>
        <w:lastRenderedPageBreak/>
        <w:t>latter</w:t>
      </w:r>
      <w:r w:rsidR="00562B5A" w:rsidRPr="003D6532">
        <w:rPr>
          <w:lang w:val="en-US"/>
        </w:rPr>
        <w:t xml:space="preserve"> piece of evidence is consistently explained within the framework of RRA</w:t>
      </w:r>
      <w:r w:rsidR="007F75C3" w:rsidRPr="003D6532">
        <w:rPr>
          <w:lang w:val="en-US"/>
        </w:rPr>
        <w:t xml:space="preserve"> </w:t>
      </w:r>
      <w:r w:rsidR="0042477D" w:rsidRPr="003D6532">
        <w:rPr>
          <w:rFonts w:cs="Times New Roman"/>
          <w:lang w:val="en-US"/>
        </w:rPr>
        <w:t xml:space="preserve">(Breen and </w:t>
      </w:r>
      <w:proofErr w:type="spellStart"/>
      <w:r w:rsidR="0042477D" w:rsidRPr="003D6532">
        <w:rPr>
          <w:rFonts w:cs="Times New Roman"/>
          <w:lang w:val="en-US"/>
        </w:rPr>
        <w:t>Goldthorpe</w:t>
      </w:r>
      <w:proofErr w:type="spellEnd"/>
      <w:r w:rsidR="0042477D" w:rsidRPr="003D6532">
        <w:rPr>
          <w:rFonts w:cs="Times New Roman"/>
          <w:lang w:val="en-US"/>
        </w:rPr>
        <w:t xml:space="preserve"> 1997)</w:t>
      </w:r>
      <w:r w:rsidR="00562B5A" w:rsidRPr="003D6532">
        <w:rPr>
          <w:lang w:val="en-US"/>
        </w:rPr>
        <w:t>: while not offering any particular advantages to upper class children</w:t>
      </w:r>
      <w:r w:rsidR="00847537" w:rsidRPr="003D6532">
        <w:rPr>
          <w:lang w:val="en-US"/>
        </w:rPr>
        <w:t>,</w:t>
      </w:r>
      <w:r w:rsidR="00562B5A" w:rsidRPr="003D6532">
        <w:rPr>
          <w:lang w:val="en-US"/>
        </w:rPr>
        <w:t xml:space="preserve"> </w:t>
      </w:r>
      <w:r w:rsidR="00041968" w:rsidRPr="003D6532">
        <w:rPr>
          <w:lang w:val="en-US"/>
        </w:rPr>
        <w:t>pseudo-academic pathway</w:t>
      </w:r>
      <w:r w:rsidR="00064663">
        <w:rPr>
          <w:lang w:val="en-US"/>
        </w:rPr>
        <w:t>s</w:t>
      </w:r>
      <w:r w:rsidR="00562B5A" w:rsidRPr="003D6532">
        <w:rPr>
          <w:lang w:val="en-US"/>
        </w:rPr>
        <w:t xml:space="preserve"> entail lower risk for lower class children and</w:t>
      </w:r>
      <w:r w:rsidR="00064663">
        <w:rPr>
          <w:lang w:val="en-US"/>
        </w:rPr>
        <w:t xml:space="preserve"> may thus influence </w:t>
      </w:r>
      <w:r w:rsidR="00562B5A" w:rsidRPr="003D6532">
        <w:rPr>
          <w:lang w:val="en-US"/>
        </w:rPr>
        <w:t xml:space="preserve">their demand for this kind of transition. </w:t>
      </w:r>
    </w:p>
    <w:p w14:paraId="0EF01481" w14:textId="170BFED6" w:rsidR="001B58EA" w:rsidRPr="003D6532" w:rsidRDefault="006D173D" w:rsidP="00D850C8">
      <w:pPr>
        <w:ind w:firstLine="708"/>
        <w:rPr>
          <w:lang w:val="en-US"/>
        </w:rPr>
      </w:pPr>
      <w:r w:rsidRPr="003D6532">
        <w:rPr>
          <w:lang w:val="en-US"/>
        </w:rPr>
        <w:t>However</w:t>
      </w:r>
      <w:r w:rsidR="004D69DD" w:rsidRPr="003D6532">
        <w:rPr>
          <w:lang w:val="en-US"/>
        </w:rPr>
        <w:t xml:space="preserve">, </w:t>
      </w:r>
      <w:r w:rsidRPr="003D6532">
        <w:rPr>
          <w:lang w:val="en-US"/>
        </w:rPr>
        <w:t>our analyses reveal</w:t>
      </w:r>
      <w:r w:rsidR="008B5625" w:rsidRPr="003D6532">
        <w:rPr>
          <w:lang w:val="en-US"/>
        </w:rPr>
        <w:t xml:space="preserve"> </w:t>
      </w:r>
      <w:r w:rsidR="007A7CDB" w:rsidRPr="003D6532">
        <w:rPr>
          <w:lang w:val="en-US"/>
        </w:rPr>
        <w:t xml:space="preserve">that this opportunity brings about peculiar side effects, which </w:t>
      </w:r>
      <w:r w:rsidR="00064663">
        <w:rPr>
          <w:lang w:val="en-US"/>
        </w:rPr>
        <w:t xml:space="preserve">have gone </w:t>
      </w:r>
      <w:r w:rsidR="00CC1AC9" w:rsidRPr="003D6532">
        <w:rPr>
          <w:lang w:val="en-US"/>
        </w:rPr>
        <w:t>un</w:t>
      </w:r>
      <w:r w:rsidR="007A7CDB" w:rsidRPr="003D6532">
        <w:rPr>
          <w:lang w:val="en-US"/>
        </w:rPr>
        <w:t xml:space="preserve">recognized </w:t>
      </w:r>
      <w:r w:rsidR="00303059" w:rsidRPr="003D6532">
        <w:rPr>
          <w:lang w:val="en-US"/>
        </w:rPr>
        <w:t xml:space="preserve">in </w:t>
      </w:r>
      <w:r w:rsidR="007A7CDB" w:rsidRPr="003D6532">
        <w:rPr>
          <w:lang w:val="en-US"/>
        </w:rPr>
        <w:t>previous research.</w:t>
      </w:r>
      <w:r w:rsidR="00677F5F" w:rsidRPr="003D6532">
        <w:rPr>
          <w:lang w:val="en-US"/>
        </w:rPr>
        <w:t xml:space="preserve"> While</w:t>
      </w:r>
      <w:r w:rsidR="00B76748" w:rsidRPr="003D6532">
        <w:rPr>
          <w:lang w:val="en-US"/>
        </w:rPr>
        <w:t xml:space="preserve"> generally reducing</w:t>
      </w:r>
      <w:r w:rsidR="00677F5F" w:rsidRPr="003D6532">
        <w:rPr>
          <w:lang w:val="en-US"/>
        </w:rPr>
        <w:t xml:space="preserve"> social inequality in access</w:t>
      </w:r>
      <w:r w:rsidR="00B76748" w:rsidRPr="003D6532">
        <w:rPr>
          <w:lang w:val="en-US"/>
        </w:rPr>
        <w:t xml:space="preserve"> to higher education, </w:t>
      </w:r>
      <w:r w:rsidR="00041968" w:rsidRPr="003D6532">
        <w:rPr>
          <w:lang w:val="en-US"/>
        </w:rPr>
        <w:t>pseudo-academic pathways</w:t>
      </w:r>
      <w:r w:rsidR="00FC0E25" w:rsidRPr="003D6532">
        <w:rPr>
          <w:lang w:val="en-US"/>
        </w:rPr>
        <w:t xml:space="preserve"> </w:t>
      </w:r>
      <w:r w:rsidR="00856927" w:rsidRPr="003D6532">
        <w:rPr>
          <w:lang w:val="en-US"/>
        </w:rPr>
        <w:t xml:space="preserve">also </w:t>
      </w:r>
      <w:r w:rsidR="00041968" w:rsidRPr="003D6532">
        <w:rPr>
          <w:lang w:val="en-US"/>
        </w:rPr>
        <w:t xml:space="preserve">act </w:t>
      </w:r>
      <w:r w:rsidR="00620930" w:rsidRPr="003D6532">
        <w:rPr>
          <w:lang w:val="en-US"/>
        </w:rPr>
        <w:t>as a work-around for</w:t>
      </w:r>
      <w:r w:rsidR="00856927" w:rsidRPr="003D6532">
        <w:rPr>
          <w:lang w:val="en-US"/>
        </w:rPr>
        <w:t xml:space="preserve"> children from more advantaged backgrounds</w:t>
      </w:r>
      <w:r w:rsidR="00620930" w:rsidRPr="003D6532">
        <w:rPr>
          <w:lang w:val="en-US"/>
        </w:rPr>
        <w:t>,</w:t>
      </w:r>
      <w:r w:rsidR="00155775" w:rsidRPr="003D6532">
        <w:rPr>
          <w:lang w:val="en-US"/>
        </w:rPr>
        <w:t xml:space="preserve"> </w:t>
      </w:r>
      <w:r w:rsidR="00620930" w:rsidRPr="003D6532">
        <w:rPr>
          <w:lang w:val="en-US"/>
        </w:rPr>
        <w:t xml:space="preserve">for whom </w:t>
      </w:r>
      <w:r w:rsidR="00041968" w:rsidRPr="003D6532">
        <w:rPr>
          <w:lang w:val="en-US"/>
        </w:rPr>
        <w:t>they help</w:t>
      </w:r>
      <w:r w:rsidR="00620930" w:rsidRPr="003D6532">
        <w:rPr>
          <w:lang w:val="en-US"/>
        </w:rPr>
        <w:t xml:space="preserve"> secur</w:t>
      </w:r>
      <w:r w:rsidR="00064663">
        <w:rPr>
          <w:lang w:val="en-US"/>
        </w:rPr>
        <w:t>e</w:t>
      </w:r>
      <w:r w:rsidR="00620930" w:rsidRPr="003D6532">
        <w:rPr>
          <w:lang w:val="en-US"/>
        </w:rPr>
        <w:t xml:space="preserve"> greater </w:t>
      </w:r>
      <w:r w:rsidR="00064663">
        <w:rPr>
          <w:lang w:val="en-US"/>
        </w:rPr>
        <w:t xml:space="preserve">access to </w:t>
      </w:r>
      <w:r w:rsidR="00620930" w:rsidRPr="003D6532">
        <w:rPr>
          <w:lang w:val="en-US"/>
        </w:rPr>
        <w:t xml:space="preserve">higher education even </w:t>
      </w:r>
      <w:r w:rsidR="00064663">
        <w:rPr>
          <w:lang w:val="en-US"/>
        </w:rPr>
        <w:t xml:space="preserve">if they have an </w:t>
      </w:r>
      <w:r w:rsidR="00620930" w:rsidRPr="003D6532">
        <w:rPr>
          <w:lang w:val="en-US"/>
        </w:rPr>
        <w:t>insufficient academic record</w:t>
      </w:r>
      <w:r w:rsidR="00856927" w:rsidRPr="003D6532">
        <w:rPr>
          <w:lang w:val="en-US"/>
        </w:rPr>
        <w:t>.</w:t>
      </w:r>
      <w:r w:rsidR="00AE1DA1" w:rsidRPr="003D6532">
        <w:rPr>
          <w:lang w:val="en-US"/>
        </w:rPr>
        <w:t xml:space="preserve"> </w:t>
      </w:r>
      <w:r w:rsidR="00260FC8" w:rsidRPr="003D6532">
        <w:rPr>
          <w:lang w:val="en-US"/>
        </w:rPr>
        <w:t xml:space="preserve">The </w:t>
      </w:r>
      <w:r w:rsidR="00064663">
        <w:rPr>
          <w:lang w:val="en-US"/>
        </w:rPr>
        <w:t xml:space="preserve">better recognition of this </w:t>
      </w:r>
      <w:r w:rsidR="00260FC8" w:rsidRPr="003D6532">
        <w:rPr>
          <w:lang w:val="en-US"/>
        </w:rPr>
        <w:t xml:space="preserve">opportunity by children from upper class families </w:t>
      </w:r>
      <w:r w:rsidR="001279EB" w:rsidRPr="003D6532">
        <w:rPr>
          <w:lang w:val="en-US"/>
        </w:rPr>
        <w:t xml:space="preserve">is consistent with the theory of CA, according to which ‘upper-class families will deploy all available resources, including nonacademic and </w:t>
      </w:r>
      <w:proofErr w:type="spellStart"/>
      <w:r w:rsidR="001279EB" w:rsidRPr="003D6532">
        <w:rPr>
          <w:lang w:val="en-US"/>
        </w:rPr>
        <w:t>nonmeritocratic</w:t>
      </w:r>
      <w:proofErr w:type="spellEnd"/>
      <w:r w:rsidR="001279EB" w:rsidRPr="003D6532">
        <w:rPr>
          <w:lang w:val="en-US"/>
        </w:rPr>
        <w:t xml:space="preserve"> resources, to minimize the negative consequences of an initial negative outcome and secure educational advantage for their children’</w:t>
      </w:r>
      <w:r w:rsidR="00CC1AC9" w:rsidRPr="003D6532">
        <w:rPr>
          <w:lang w:val="en-US"/>
        </w:rPr>
        <w:t xml:space="preserve"> </w:t>
      </w:r>
      <w:r w:rsidR="0042477D" w:rsidRPr="003D6532">
        <w:rPr>
          <w:rFonts w:cs="Times New Roman"/>
          <w:lang w:val="en-US"/>
        </w:rPr>
        <w:t>(</w:t>
      </w:r>
      <w:proofErr w:type="spellStart"/>
      <w:r w:rsidR="0042477D" w:rsidRPr="003D6532">
        <w:rPr>
          <w:rFonts w:cs="Times New Roman"/>
          <w:lang w:val="en-US"/>
        </w:rPr>
        <w:t>Bernardi</w:t>
      </w:r>
      <w:proofErr w:type="spellEnd"/>
      <w:r w:rsidR="0042477D" w:rsidRPr="003D6532">
        <w:rPr>
          <w:rFonts w:cs="Times New Roman"/>
          <w:lang w:val="en-US"/>
        </w:rPr>
        <w:t xml:space="preserve"> 2014:85)</w:t>
      </w:r>
      <w:r w:rsidR="001279EB" w:rsidRPr="003D6532">
        <w:rPr>
          <w:lang w:val="en-US"/>
        </w:rPr>
        <w:t xml:space="preserve">. From this perspective, </w:t>
      </w:r>
      <w:r w:rsidR="00041968" w:rsidRPr="003D6532">
        <w:rPr>
          <w:lang w:val="en-US"/>
        </w:rPr>
        <w:t>pseudo-academic</w:t>
      </w:r>
      <w:r w:rsidR="00BB639D" w:rsidRPr="003D6532">
        <w:rPr>
          <w:lang w:val="en-US"/>
        </w:rPr>
        <w:t xml:space="preserve"> </w:t>
      </w:r>
      <w:r w:rsidR="001279EB" w:rsidRPr="003D6532">
        <w:rPr>
          <w:lang w:val="en-US"/>
        </w:rPr>
        <w:t>pathway</w:t>
      </w:r>
      <w:r w:rsidR="00AF3EEE" w:rsidRPr="003D6532">
        <w:rPr>
          <w:lang w:val="en-US"/>
        </w:rPr>
        <w:t>s</w:t>
      </w:r>
      <w:r w:rsidR="001279EB" w:rsidRPr="003D6532">
        <w:rPr>
          <w:lang w:val="en-US"/>
        </w:rPr>
        <w:t xml:space="preserve"> to higher education in Russia </w:t>
      </w:r>
      <w:r w:rsidR="00AF3EEE" w:rsidRPr="003D6532">
        <w:rPr>
          <w:lang w:val="en-US"/>
        </w:rPr>
        <w:t>represent a particular mechanism</w:t>
      </w:r>
      <w:r w:rsidR="00064663">
        <w:rPr>
          <w:lang w:val="en-US"/>
        </w:rPr>
        <w:t xml:space="preserve"> </w:t>
      </w:r>
      <w:r w:rsidR="00AF3EEE" w:rsidRPr="003D6532">
        <w:rPr>
          <w:lang w:val="en-US"/>
        </w:rPr>
        <w:t xml:space="preserve">by which </w:t>
      </w:r>
      <w:r w:rsidR="004C54BA" w:rsidRPr="003D6532">
        <w:rPr>
          <w:lang w:val="en-US"/>
        </w:rPr>
        <w:t>upper class families</w:t>
      </w:r>
      <w:r w:rsidR="00AF3EEE" w:rsidRPr="003D6532">
        <w:rPr>
          <w:lang w:val="en-US"/>
        </w:rPr>
        <w:t xml:space="preserve"> can</w:t>
      </w:r>
      <w:r w:rsidR="004C54BA" w:rsidRPr="003D6532">
        <w:rPr>
          <w:lang w:val="en-US"/>
        </w:rPr>
        <w:t xml:space="preserve"> </w:t>
      </w:r>
      <w:r w:rsidR="00663EAF" w:rsidRPr="003D6532">
        <w:rPr>
          <w:lang w:val="en-US"/>
        </w:rPr>
        <w:t xml:space="preserve">more </w:t>
      </w:r>
      <w:r w:rsidR="004C54BA" w:rsidRPr="003D6532">
        <w:rPr>
          <w:lang w:val="en-US"/>
        </w:rPr>
        <w:t>effectively achieve their goals</w:t>
      </w:r>
      <w:r w:rsidR="004A0006" w:rsidRPr="003D6532">
        <w:rPr>
          <w:lang w:val="en-US"/>
        </w:rPr>
        <w:t xml:space="preserve"> and maintain inequality</w:t>
      </w:r>
      <w:r w:rsidR="00663EAF" w:rsidRPr="003D6532">
        <w:rPr>
          <w:lang w:val="en-US"/>
        </w:rPr>
        <w:t xml:space="preserve"> in</w:t>
      </w:r>
      <w:r w:rsidR="003358CD" w:rsidRPr="003D6532">
        <w:rPr>
          <w:lang w:val="en-US"/>
        </w:rPr>
        <w:t xml:space="preserve"> </w:t>
      </w:r>
      <w:r w:rsidR="00AF3EEE" w:rsidRPr="003D6532">
        <w:rPr>
          <w:lang w:val="en-US"/>
        </w:rPr>
        <w:t>context</w:t>
      </w:r>
      <w:r w:rsidR="00663EAF" w:rsidRPr="003D6532">
        <w:rPr>
          <w:lang w:val="en-US"/>
        </w:rPr>
        <w:t>s</w:t>
      </w:r>
      <w:r w:rsidR="003358CD" w:rsidRPr="003D6532">
        <w:rPr>
          <w:lang w:val="en-US"/>
        </w:rPr>
        <w:t xml:space="preserve"> </w:t>
      </w:r>
      <w:r w:rsidR="00064663">
        <w:rPr>
          <w:lang w:val="en-US"/>
        </w:rPr>
        <w:t xml:space="preserve">that </w:t>
      </w:r>
      <w:r w:rsidR="003358CD" w:rsidRPr="003D6532">
        <w:rPr>
          <w:lang w:val="en-US"/>
        </w:rPr>
        <w:t>threaten their status maintenance</w:t>
      </w:r>
      <w:r w:rsidR="00663EAF" w:rsidRPr="003D6532">
        <w:rPr>
          <w:lang w:val="en-US"/>
        </w:rPr>
        <w:t xml:space="preserve">. A broader implication of this finding is that </w:t>
      </w:r>
      <w:r w:rsidR="0060012F" w:rsidRPr="003D6532">
        <w:rPr>
          <w:lang w:val="en-US"/>
        </w:rPr>
        <w:t xml:space="preserve">policy </w:t>
      </w:r>
      <w:r w:rsidR="008A3349" w:rsidRPr="003D6532">
        <w:rPr>
          <w:lang w:val="en-US"/>
        </w:rPr>
        <w:t xml:space="preserve">interventions </w:t>
      </w:r>
      <w:r w:rsidR="0060012F" w:rsidRPr="003D6532">
        <w:rPr>
          <w:lang w:val="en-US"/>
        </w:rPr>
        <w:t>taken</w:t>
      </w:r>
      <w:r w:rsidR="00663EAF" w:rsidRPr="003D6532">
        <w:rPr>
          <w:lang w:val="en-US"/>
        </w:rPr>
        <w:t xml:space="preserve"> to reduce social inequality</w:t>
      </w:r>
      <w:r w:rsidR="0060012F" w:rsidRPr="003D6532">
        <w:rPr>
          <w:lang w:val="en-US"/>
        </w:rPr>
        <w:t xml:space="preserve"> via meritocratic principles </w:t>
      </w:r>
      <w:r w:rsidR="00663EAF" w:rsidRPr="003D6532">
        <w:rPr>
          <w:lang w:val="en-US"/>
        </w:rPr>
        <w:t xml:space="preserve">(such as the USE reform in Russia) incentivize upper class families to circumvent these </w:t>
      </w:r>
      <w:r w:rsidR="0060012F" w:rsidRPr="003D6532">
        <w:rPr>
          <w:lang w:val="en-US"/>
        </w:rPr>
        <w:t xml:space="preserve">principles </w:t>
      </w:r>
      <w:r w:rsidR="00663EAF" w:rsidRPr="003D6532">
        <w:rPr>
          <w:lang w:val="en-US"/>
        </w:rPr>
        <w:t xml:space="preserve">and seek out alternative strategies that might help them </w:t>
      </w:r>
      <w:r w:rsidR="00064663">
        <w:rPr>
          <w:lang w:val="en-US"/>
        </w:rPr>
        <w:t xml:space="preserve">maintain </w:t>
      </w:r>
      <w:r w:rsidR="00663EAF" w:rsidRPr="003D6532">
        <w:rPr>
          <w:lang w:val="en-US"/>
        </w:rPr>
        <w:t>their advantage.</w:t>
      </w:r>
      <w:r w:rsidR="001B58EA" w:rsidRPr="003D6532">
        <w:rPr>
          <w:lang w:val="en-US"/>
        </w:rPr>
        <w:t xml:space="preserve"> </w:t>
      </w:r>
    </w:p>
    <w:p w14:paraId="4C5560FF" w14:textId="70472402" w:rsidR="000565F8" w:rsidRPr="003D6532" w:rsidRDefault="00064663">
      <w:pPr>
        <w:ind w:firstLine="708"/>
        <w:rPr>
          <w:lang w:val="en-US"/>
        </w:rPr>
      </w:pPr>
      <w:r>
        <w:rPr>
          <w:lang w:val="en-US"/>
        </w:rPr>
        <w:t xml:space="preserve">Concerning </w:t>
      </w:r>
      <w:r w:rsidR="00544F81" w:rsidRPr="003D6532">
        <w:rPr>
          <w:lang w:val="en-US"/>
        </w:rPr>
        <w:t>more specific policy implications, our findings reveal a peculiar dilemma.</w:t>
      </w:r>
      <w:r w:rsidR="0099718B" w:rsidRPr="003D6532">
        <w:rPr>
          <w:lang w:val="en-US"/>
        </w:rPr>
        <w:t xml:space="preserve"> Standardized examinations are often implemented with the purpose of promoting </w:t>
      </w:r>
      <w:r>
        <w:rPr>
          <w:lang w:val="en-US"/>
        </w:rPr>
        <w:t xml:space="preserve">the </w:t>
      </w:r>
      <w:r w:rsidR="0099718B" w:rsidRPr="003D6532">
        <w:rPr>
          <w:lang w:val="en-US"/>
        </w:rPr>
        <w:t xml:space="preserve">efficiency of educational systems and fostering </w:t>
      </w:r>
      <w:r>
        <w:rPr>
          <w:lang w:val="en-US"/>
        </w:rPr>
        <w:t xml:space="preserve">the </w:t>
      </w:r>
      <w:r w:rsidR="0099718B" w:rsidRPr="003D6532">
        <w:rPr>
          <w:lang w:val="en-US"/>
        </w:rPr>
        <w:t xml:space="preserve">equality of educational opportunity. </w:t>
      </w:r>
      <w:r w:rsidR="00833256" w:rsidRPr="003D6532">
        <w:rPr>
          <w:lang w:val="en-US"/>
        </w:rPr>
        <w:t>T</w:t>
      </w:r>
      <w:r w:rsidR="0099718B" w:rsidRPr="003D6532">
        <w:rPr>
          <w:lang w:val="en-US"/>
        </w:rPr>
        <w:t>he inconsistent manner</w:t>
      </w:r>
      <w:r>
        <w:rPr>
          <w:lang w:val="en-US"/>
        </w:rPr>
        <w:t xml:space="preserve"> </w:t>
      </w:r>
      <w:r w:rsidR="0099718B" w:rsidRPr="003D6532">
        <w:rPr>
          <w:lang w:val="en-US"/>
        </w:rPr>
        <w:t xml:space="preserve">in which they regulate access to higher education through </w:t>
      </w:r>
      <w:r>
        <w:rPr>
          <w:lang w:val="en-US"/>
        </w:rPr>
        <w:t xml:space="preserve">the </w:t>
      </w:r>
      <w:r w:rsidR="0099718B" w:rsidRPr="003D6532">
        <w:rPr>
          <w:lang w:val="en-US"/>
        </w:rPr>
        <w:t>vocational and academic track</w:t>
      </w:r>
      <w:r>
        <w:rPr>
          <w:lang w:val="en-US"/>
        </w:rPr>
        <w:t>s</w:t>
      </w:r>
      <w:r w:rsidR="0099718B" w:rsidRPr="003D6532">
        <w:rPr>
          <w:lang w:val="en-US"/>
        </w:rPr>
        <w:t xml:space="preserve"> in Russia</w:t>
      </w:r>
      <w:r>
        <w:rPr>
          <w:lang w:val="en-US"/>
        </w:rPr>
        <w:t xml:space="preserve"> </w:t>
      </w:r>
      <w:r w:rsidR="00833256" w:rsidRPr="003D6532">
        <w:rPr>
          <w:lang w:val="en-US"/>
        </w:rPr>
        <w:t xml:space="preserve">definitely undermines the efficiency of </w:t>
      </w:r>
      <w:r w:rsidRPr="003D6532">
        <w:rPr>
          <w:lang w:val="en-US"/>
        </w:rPr>
        <w:t>Russia</w:t>
      </w:r>
      <w:r>
        <w:rPr>
          <w:lang w:val="en-US"/>
        </w:rPr>
        <w:t xml:space="preserve">’s </w:t>
      </w:r>
      <w:r w:rsidR="00833256" w:rsidRPr="003D6532">
        <w:rPr>
          <w:lang w:val="en-US"/>
        </w:rPr>
        <w:t xml:space="preserve">tracked </w:t>
      </w:r>
      <w:r w:rsidR="00833256" w:rsidRPr="003D6532">
        <w:rPr>
          <w:lang w:val="en-US"/>
        </w:rPr>
        <w:lastRenderedPageBreak/>
        <w:t>educational system. However, it also</w:t>
      </w:r>
      <w:r w:rsidR="0099718B" w:rsidRPr="003D6532">
        <w:rPr>
          <w:lang w:val="en-US"/>
        </w:rPr>
        <w:t xml:space="preserve"> reveals the ambiguity of </w:t>
      </w:r>
      <w:r>
        <w:rPr>
          <w:lang w:val="en-US"/>
        </w:rPr>
        <w:t xml:space="preserve">the </w:t>
      </w:r>
      <w:r w:rsidR="0099718B" w:rsidRPr="003D6532">
        <w:rPr>
          <w:lang w:val="en-US"/>
        </w:rPr>
        <w:t xml:space="preserve">consequences for social mobility. On the one hand, applying the same highly meritocratic rules of selection through both tracks </w:t>
      </w:r>
      <w:r w:rsidR="00544F81" w:rsidRPr="003D6532">
        <w:rPr>
          <w:lang w:val="en-US"/>
        </w:rPr>
        <w:t>might</w:t>
      </w:r>
      <w:r w:rsidR="0099718B" w:rsidRPr="003D6532">
        <w:rPr>
          <w:lang w:val="en-US"/>
        </w:rPr>
        <w:t xml:space="preserve"> work towards h</w:t>
      </w:r>
      <w:r w:rsidR="00833256" w:rsidRPr="003D6532">
        <w:rPr>
          <w:lang w:val="en-US"/>
        </w:rPr>
        <w:t xml:space="preserve">igher equality </w:t>
      </w:r>
      <w:r w:rsidR="0099718B" w:rsidRPr="003D6532">
        <w:rPr>
          <w:lang w:val="en-US"/>
        </w:rPr>
        <w:t>in allocation decisions</w:t>
      </w:r>
      <w:r w:rsidR="00833256" w:rsidRPr="003D6532">
        <w:rPr>
          <w:lang w:val="en-US"/>
        </w:rPr>
        <w:t xml:space="preserve">, </w:t>
      </w:r>
      <w:r w:rsidRPr="003D6532">
        <w:rPr>
          <w:lang w:val="en-US"/>
        </w:rPr>
        <w:t>i.e.</w:t>
      </w:r>
      <w:r>
        <w:rPr>
          <w:lang w:val="en-US"/>
        </w:rPr>
        <w:t xml:space="preserve">, </w:t>
      </w:r>
      <w:r w:rsidR="00833256" w:rsidRPr="003D6532">
        <w:rPr>
          <w:lang w:val="en-US"/>
        </w:rPr>
        <w:t xml:space="preserve">by blocking the work-around for </w:t>
      </w:r>
      <w:r>
        <w:rPr>
          <w:lang w:val="en-US"/>
        </w:rPr>
        <w:t xml:space="preserve">the </w:t>
      </w:r>
      <w:r w:rsidR="00833256" w:rsidRPr="003D6532">
        <w:rPr>
          <w:lang w:val="en-US"/>
        </w:rPr>
        <w:t>lower performing children of upper class families</w:t>
      </w:r>
      <w:r w:rsidR="0099718B" w:rsidRPr="003D6532">
        <w:rPr>
          <w:lang w:val="en-US"/>
        </w:rPr>
        <w:t xml:space="preserve">. On the other hand, this </w:t>
      </w:r>
      <w:r w:rsidR="00D006B2" w:rsidRPr="003D6532">
        <w:rPr>
          <w:lang w:val="en-US"/>
        </w:rPr>
        <w:t xml:space="preserve">would </w:t>
      </w:r>
      <w:r w:rsidR="0099718B" w:rsidRPr="003D6532">
        <w:rPr>
          <w:lang w:val="en-US"/>
        </w:rPr>
        <w:t xml:space="preserve">also undermine the premises, on which </w:t>
      </w:r>
      <w:r>
        <w:rPr>
          <w:lang w:val="en-US"/>
        </w:rPr>
        <w:t xml:space="preserve">the </w:t>
      </w:r>
      <w:r w:rsidR="0099718B" w:rsidRPr="003D6532">
        <w:rPr>
          <w:lang w:val="en-US"/>
        </w:rPr>
        <w:t>vocational track</w:t>
      </w:r>
      <w:r w:rsidR="00544F81" w:rsidRPr="003D6532">
        <w:rPr>
          <w:lang w:val="en-US"/>
        </w:rPr>
        <w:t xml:space="preserve"> currently</w:t>
      </w:r>
      <w:r w:rsidR="0099718B" w:rsidRPr="003D6532">
        <w:rPr>
          <w:lang w:val="en-US"/>
        </w:rPr>
        <w:t xml:space="preserve"> serves as a social lift for lower class children </w:t>
      </w:r>
      <w:r w:rsidR="00544F81" w:rsidRPr="003D6532">
        <w:rPr>
          <w:lang w:val="en-US"/>
        </w:rPr>
        <w:t>by providing</w:t>
      </w:r>
      <w:r w:rsidR="0099718B" w:rsidRPr="003D6532">
        <w:rPr>
          <w:lang w:val="en-US"/>
        </w:rPr>
        <w:t xml:space="preserve"> relatively easy and safe-risk access to higher education.</w:t>
      </w:r>
      <w:r w:rsidR="00D006B2" w:rsidRPr="003D6532">
        <w:rPr>
          <w:lang w:val="en-US"/>
        </w:rPr>
        <w:t xml:space="preserve"> In terms of reducing social inequalities</w:t>
      </w:r>
      <w:r w:rsidR="00BA5E56" w:rsidRPr="003D6532">
        <w:rPr>
          <w:lang w:val="en-US"/>
        </w:rPr>
        <w:t>,</w:t>
      </w:r>
      <w:r w:rsidR="00D006B2" w:rsidRPr="003D6532">
        <w:rPr>
          <w:lang w:val="en-US"/>
        </w:rPr>
        <w:t xml:space="preserve"> </w:t>
      </w:r>
      <w:r w:rsidR="00E03EEB" w:rsidRPr="003D6532">
        <w:rPr>
          <w:lang w:val="en-US"/>
        </w:rPr>
        <w:t>blocking</w:t>
      </w:r>
      <w:r w:rsidR="00BA5E56" w:rsidRPr="003D6532">
        <w:rPr>
          <w:lang w:val="en-US"/>
        </w:rPr>
        <w:t xml:space="preserve"> pseudo-academic pathways</w:t>
      </w:r>
      <w:r w:rsidR="00E03EEB" w:rsidRPr="003D6532">
        <w:rPr>
          <w:lang w:val="en-US"/>
        </w:rPr>
        <w:t xml:space="preserve"> </w:t>
      </w:r>
      <w:r w:rsidR="00D006B2" w:rsidRPr="003D6532">
        <w:rPr>
          <w:lang w:val="en-US"/>
        </w:rPr>
        <w:t>would</w:t>
      </w:r>
      <w:r w:rsidR="005B540C" w:rsidRPr="003D6532">
        <w:rPr>
          <w:lang w:val="en-US"/>
        </w:rPr>
        <w:t xml:space="preserve"> certainly</w:t>
      </w:r>
      <w:r w:rsidR="00D006B2" w:rsidRPr="003D6532">
        <w:rPr>
          <w:lang w:val="en-US"/>
        </w:rPr>
        <w:t xml:space="preserve"> bring more </w:t>
      </w:r>
      <w:r w:rsidR="000565F8" w:rsidRPr="003D6532">
        <w:rPr>
          <w:lang w:val="en-US"/>
        </w:rPr>
        <w:t>‘</w:t>
      </w:r>
      <w:r w:rsidR="00D006B2" w:rsidRPr="003D6532">
        <w:rPr>
          <w:lang w:val="en-US"/>
        </w:rPr>
        <w:t>harm</w:t>
      </w:r>
      <w:r w:rsidR="000565F8" w:rsidRPr="003D6532">
        <w:rPr>
          <w:lang w:val="en-US"/>
        </w:rPr>
        <w:t>’</w:t>
      </w:r>
      <w:r w:rsidR="00D006B2" w:rsidRPr="003D6532">
        <w:rPr>
          <w:lang w:val="en-US"/>
        </w:rPr>
        <w:t xml:space="preserve"> than </w:t>
      </w:r>
      <w:r w:rsidR="000565F8" w:rsidRPr="003D6532">
        <w:rPr>
          <w:lang w:val="en-US"/>
        </w:rPr>
        <w:t>‘</w:t>
      </w:r>
      <w:r w:rsidR="00D006B2" w:rsidRPr="003D6532">
        <w:rPr>
          <w:lang w:val="en-US"/>
        </w:rPr>
        <w:t>good</w:t>
      </w:r>
      <w:r w:rsidR="000565F8" w:rsidRPr="003D6532">
        <w:rPr>
          <w:lang w:val="en-US"/>
        </w:rPr>
        <w:t>’</w:t>
      </w:r>
      <w:r w:rsidR="00D006B2" w:rsidRPr="003D6532">
        <w:rPr>
          <w:lang w:val="en-US"/>
        </w:rPr>
        <w:t xml:space="preserve"> simply because the </w:t>
      </w:r>
      <w:r w:rsidR="005B540C" w:rsidRPr="003D6532">
        <w:rPr>
          <w:lang w:val="en-US"/>
        </w:rPr>
        <w:t>number</w:t>
      </w:r>
      <w:r w:rsidR="00D006B2" w:rsidRPr="003D6532">
        <w:rPr>
          <w:lang w:val="en-US"/>
        </w:rPr>
        <w:t xml:space="preserve"> of lower performing children from </w:t>
      </w:r>
      <w:r w:rsidR="005B540C" w:rsidRPr="003D6532">
        <w:rPr>
          <w:lang w:val="en-US"/>
        </w:rPr>
        <w:t xml:space="preserve">upper class families is </w:t>
      </w:r>
      <w:r>
        <w:rPr>
          <w:lang w:val="en-US"/>
        </w:rPr>
        <w:t xml:space="preserve">much smaller than </w:t>
      </w:r>
      <w:r w:rsidR="005B540C" w:rsidRPr="003D6532">
        <w:rPr>
          <w:lang w:val="en-US"/>
        </w:rPr>
        <w:t>the number of children from less advantaged families who make use of pseudo-academic pathway</w:t>
      </w:r>
      <w:r w:rsidR="005F31E0" w:rsidRPr="003D6532">
        <w:rPr>
          <w:lang w:val="en-US"/>
        </w:rPr>
        <w:t>s</w:t>
      </w:r>
      <w:r w:rsidR="005B540C" w:rsidRPr="003D6532">
        <w:rPr>
          <w:lang w:val="en-US"/>
        </w:rPr>
        <w:t>.</w:t>
      </w:r>
      <w:r w:rsidR="000565F8" w:rsidRPr="003D6532">
        <w:rPr>
          <w:lang w:val="en-US"/>
        </w:rPr>
        <w:t xml:space="preserve"> </w:t>
      </w:r>
    </w:p>
    <w:p w14:paraId="65436D45" w14:textId="793B5CF3" w:rsidR="00C04F1A" w:rsidRPr="003D6532" w:rsidRDefault="00064663" w:rsidP="00C04F1A">
      <w:pPr>
        <w:rPr>
          <w:lang w:val="en-US"/>
        </w:rPr>
      </w:pPr>
      <w:r>
        <w:rPr>
          <w:lang w:val="en-US"/>
        </w:rPr>
        <w:t xml:space="preserve">The </w:t>
      </w:r>
      <w:r w:rsidR="00833256" w:rsidRPr="003D6532">
        <w:rPr>
          <w:lang w:val="en-US"/>
        </w:rPr>
        <w:t>goal</w:t>
      </w:r>
      <w:r>
        <w:rPr>
          <w:lang w:val="en-US"/>
        </w:rPr>
        <w:t xml:space="preserve"> of </w:t>
      </w:r>
      <w:r w:rsidRPr="003D6532">
        <w:rPr>
          <w:lang w:val="en-US"/>
        </w:rPr>
        <w:t>efficiency</w:t>
      </w:r>
      <w:r w:rsidR="00833256" w:rsidRPr="003D6532">
        <w:rPr>
          <w:lang w:val="en-US"/>
        </w:rPr>
        <w:t xml:space="preserve">, however, </w:t>
      </w:r>
      <w:r w:rsidR="00D006B2" w:rsidRPr="003D6532">
        <w:rPr>
          <w:lang w:val="en-US"/>
        </w:rPr>
        <w:t xml:space="preserve">should </w:t>
      </w:r>
      <w:r w:rsidR="00833256" w:rsidRPr="003D6532">
        <w:rPr>
          <w:lang w:val="en-US"/>
        </w:rPr>
        <w:t>tip the balance</w:t>
      </w:r>
      <w:r w:rsidR="005B540C" w:rsidRPr="003D6532">
        <w:rPr>
          <w:lang w:val="en-US"/>
        </w:rPr>
        <w:t xml:space="preserve"> </w:t>
      </w:r>
      <w:r w:rsidR="00833256" w:rsidRPr="003D6532">
        <w:rPr>
          <w:lang w:val="en-US"/>
        </w:rPr>
        <w:t>towards</w:t>
      </w:r>
      <w:r w:rsidR="008A0A5E" w:rsidRPr="003D6532">
        <w:rPr>
          <w:lang w:val="en-US"/>
        </w:rPr>
        <w:t xml:space="preserve"> more</w:t>
      </w:r>
      <w:r w:rsidR="00833256" w:rsidRPr="003D6532">
        <w:rPr>
          <w:lang w:val="en-US"/>
        </w:rPr>
        <w:t xml:space="preserve"> </w:t>
      </w:r>
      <w:r w:rsidR="00C04F1A" w:rsidRPr="003D6532">
        <w:rPr>
          <w:lang w:val="en-US"/>
        </w:rPr>
        <w:t>consistent implementation of the USE. Yet</w:t>
      </w:r>
      <w:r w:rsidR="004D2DC8" w:rsidRPr="003D6532">
        <w:rPr>
          <w:lang w:val="en-US"/>
        </w:rPr>
        <w:t>,</w:t>
      </w:r>
      <w:r w:rsidR="00C04F1A" w:rsidRPr="003D6532">
        <w:rPr>
          <w:lang w:val="en-US"/>
        </w:rPr>
        <w:t xml:space="preserve"> this would pose another</w:t>
      </w:r>
      <w:r w:rsidR="0099718B" w:rsidRPr="003D6532">
        <w:rPr>
          <w:lang w:val="en-US"/>
        </w:rPr>
        <w:t xml:space="preserve"> potentially serious challenge. In the context</w:t>
      </w:r>
      <w:r>
        <w:rPr>
          <w:lang w:val="en-US"/>
        </w:rPr>
        <w:t xml:space="preserve"> that </w:t>
      </w:r>
      <w:r w:rsidR="0099718B" w:rsidRPr="003D6532">
        <w:rPr>
          <w:lang w:val="en-US"/>
        </w:rPr>
        <w:t xml:space="preserve">we have described, the survival of a certain group of education providers might actually hinge on </w:t>
      </w:r>
      <w:r>
        <w:rPr>
          <w:lang w:val="en-US"/>
        </w:rPr>
        <w:t xml:space="preserve">the </w:t>
      </w:r>
      <w:r w:rsidR="0099718B" w:rsidRPr="003D6532">
        <w:rPr>
          <w:lang w:val="en-US"/>
        </w:rPr>
        <w:t>selective applica</w:t>
      </w:r>
      <w:r w:rsidR="00544F81" w:rsidRPr="003D6532">
        <w:rPr>
          <w:lang w:val="en-US"/>
        </w:rPr>
        <w:t xml:space="preserve">tion of the USE. </w:t>
      </w:r>
      <w:r w:rsidR="00BB2935" w:rsidRPr="003D6532">
        <w:rPr>
          <w:lang w:val="en-US"/>
        </w:rPr>
        <w:t>This</w:t>
      </w:r>
      <w:r w:rsidR="00544F81" w:rsidRPr="003D6532">
        <w:rPr>
          <w:lang w:val="en-US"/>
        </w:rPr>
        <w:t xml:space="preserve"> opportunity attracts enrolment, enrolment brings</w:t>
      </w:r>
      <w:r w:rsidR="00BB2935" w:rsidRPr="003D6532">
        <w:rPr>
          <w:lang w:val="en-US"/>
        </w:rPr>
        <w:t xml:space="preserve"> funding, and</w:t>
      </w:r>
      <w:r w:rsidR="00544F81" w:rsidRPr="003D6532">
        <w:rPr>
          <w:lang w:val="en-US"/>
        </w:rPr>
        <w:t xml:space="preserve"> </w:t>
      </w:r>
      <w:r>
        <w:rPr>
          <w:lang w:val="en-US"/>
        </w:rPr>
        <w:t xml:space="preserve">the involved </w:t>
      </w:r>
      <w:r w:rsidR="00BB2935" w:rsidRPr="003D6532">
        <w:rPr>
          <w:lang w:val="en-US"/>
        </w:rPr>
        <w:t xml:space="preserve">education providers </w:t>
      </w:r>
      <w:r w:rsidR="0099718B" w:rsidRPr="003D6532">
        <w:rPr>
          <w:lang w:val="en-US"/>
        </w:rPr>
        <w:t xml:space="preserve">would </w:t>
      </w:r>
      <w:r w:rsidRPr="003D6532">
        <w:rPr>
          <w:lang w:val="en-US"/>
        </w:rPr>
        <w:t xml:space="preserve">thus </w:t>
      </w:r>
      <w:r w:rsidR="0099718B" w:rsidRPr="003D6532">
        <w:rPr>
          <w:lang w:val="en-US"/>
        </w:rPr>
        <w:t xml:space="preserve">have a serious stake in maintaining the status quo. Evidence of increasing cooperation </w:t>
      </w:r>
      <w:r w:rsidR="00FF348C" w:rsidRPr="003D6532">
        <w:rPr>
          <w:lang w:val="en-US"/>
        </w:rPr>
        <w:t xml:space="preserve">between </w:t>
      </w:r>
      <w:r w:rsidR="0099718B" w:rsidRPr="003D6532">
        <w:rPr>
          <w:lang w:val="en-US"/>
        </w:rPr>
        <w:t xml:space="preserve">secondary vocational and higher education institutions </w:t>
      </w:r>
      <w:r w:rsidR="0042477D" w:rsidRPr="003D6532">
        <w:rPr>
          <w:rFonts w:cs="Times New Roman"/>
          <w:lang w:val="en-US"/>
        </w:rPr>
        <w:t>(</w:t>
      </w:r>
      <w:proofErr w:type="spellStart"/>
      <w:r w:rsidR="0042477D" w:rsidRPr="003D6532">
        <w:rPr>
          <w:rFonts w:cs="Times New Roman"/>
          <w:lang w:val="en-US"/>
        </w:rPr>
        <w:t>Alexandrov</w:t>
      </w:r>
      <w:proofErr w:type="spellEnd"/>
      <w:r w:rsidR="0042477D" w:rsidRPr="003D6532">
        <w:rPr>
          <w:rFonts w:cs="Times New Roman"/>
          <w:lang w:val="en-US"/>
        </w:rPr>
        <w:t xml:space="preserve"> et al. 2015)</w:t>
      </w:r>
      <w:r w:rsidR="0099718B" w:rsidRPr="003D6532">
        <w:rPr>
          <w:lang w:val="en-US"/>
        </w:rPr>
        <w:t xml:space="preserve"> and the </w:t>
      </w:r>
      <w:r>
        <w:rPr>
          <w:lang w:val="en-US"/>
        </w:rPr>
        <w:t xml:space="preserve">continuing existence of </w:t>
      </w:r>
      <w:r w:rsidR="0099718B" w:rsidRPr="003D6532">
        <w:rPr>
          <w:lang w:val="en-US"/>
        </w:rPr>
        <w:t>th</w:t>
      </w:r>
      <w:r w:rsidR="00FF348C" w:rsidRPr="003D6532">
        <w:rPr>
          <w:lang w:val="en-US"/>
        </w:rPr>
        <w:t>e</w:t>
      </w:r>
      <w:r w:rsidR="0099718B" w:rsidRPr="003D6532">
        <w:rPr>
          <w:lang w:val="en-US"/>
        </w:rPr>
        <w:t xml:space="preserve"> </w:t>
      </w:r>
      <w:r w:rsidR="00FF348C" w:rsidRPr="003D6532">
        <w:rPr>
          <w:lang w:val="en-US"/>
        </w:rPr>
        <w:t xml:space="preserve">opportunity to avoid the USE </w:t>
      </w:r>
      <w:r w:rsidR="0099718B" w:rsidRPr="003D6532">
        <w:rPr>
          <w:lang w:val="en-US"/>
        </w:rPr>
        <w:t xml:space="preserve">even 9 years </w:t>
      </w:r>
      <w:r w:rsidR="00D86C5E">
        <w:rPr>
          <w:lang w:val="en-US"/>
        </w:rPr>
        <w:t xml:space="preserve">after </w:t>
      </w:r>
      <w:r w:rsidR="0099718B" w:rsidRPr="003D6532">
        <w:rPr>
          <w:lang w:val="en-US"/>
        </w:rPr>
        <w:t xml:space="preserve">the reform should convince </w:t>
      </w:r>
      <w:r w:rsidR="00D86C5E">
        <w:rPr>
          <w:lang w:val="en-US"/>
        </w:rPr>
        <w:t xml:space="preserve">one </w:t>
      </w:r>
      <w:r w:rsidR="0099718B" w:rsidRPr="003D6532">
        <w:rPr>
          <w:lang w:val="en-US"/>
        </w:rPr>
        <w:t>that this challenge is certainly a possibility.</w:t>
      </w:r>
      <w:r w:rsidR="005D626E" w:rsidRPr="003D6532">
        <w:rPr>
          <w:lang w:val="en-US"/>
        </w:rPr>
        <w:t xml:space="preserve"> We</w:t>
      </w:r>
      <w:r w:rsidR="004A5D72" w:rsidRPr="003D6532">
        <w:rPr>
          <w:lang w:val="en-US"/>
        </w:rPr>
        <w:t xml:space="preserve"> can</w:t>
      </w:r>
      <w:r w:rsidR="005D626E" w:rsidRPr="003D6532">
        <w:rPr>
          <w:lang w:val="en-US"/>
        </w:rPr>
        <w:t xml:space="preserve"> also take it as a sign of </w:t>
      </w:r>
      <w:r w:rsidR="008854F4" w:rsidRPr="003D6532">
        <w:rPr>
          <w:lang w:val="en-US"/>
        </w:rPr>
        <w:t>a reinforcing</w:t>
      </w:r>
      <w:r w:rsidR="005D626E" w:rsidRPr="003D6532">
        <w:rPr>
          <w:lang w:val="en-US"/>
        </w:rPr>
        <w:t xml:space="preserve"> relationship between the institutional context and the</w:t>
      </w:r>
      <w:r w:rsidR="004A5D72" w:rsidRPr="003D6532">
        <w:rPr>
          <w:lang w:val="en-US"/>
        </w:rPr>
        <w:t xml:space="preserve"> structure of social inequality: while it is possible that the latter affects the former, we should not discard </w:t>
      </w:r>
      <w:r w:rsidR="00D86C5E">
        <w:rPr>
          <w:lang w:val="en-US"/>
        </w:rPr>
        <w:t xml:space="preserve">the fact </w:t>
      </w:r>
      <w:r w:rsidR="004A5D72" w:rsidRPr="003D6532">
        <w:rPr>
          <w:lang w:val="en-US"/>
        </w:rPr>
        <w:t xml:space="preserve">that institutions might </w:t>
      </w:r>
      <w:r w:rsidR="008854F4" w:rsidRPr="003D6532">
        <w:rPr>
          <w:lang w:val="en-US"/>
        </w:rPr>
        <w:t>themselves</w:t>
      </w:r>
      <w:r w:rsidR="004A5D72" w:rsidRPr="003D6532">
        <w:rPr>
          <w:lang w:val="en-US"/>
        </w:rPr>
        <w:t xml:space="preserve"> be </w:t>
      </w:r>
      <w:r w:rsidR="008854F4" w:rsidRPr="003D6532">
        <w:rPr>
          <w:lang w:val="en-US"/>
        </w:rPr>
        <w:t>adapting</w:t>
      </w:r>
      <w:r w:rsidR="004A5D72" w:rsidRPr="003D6532">
        <w:rPr>
          <w:lang w:val="en-US"/>
        </w:rPr>
        <w:t xml:space="preserve"> to meet the demand for a particular type of </w:t>
      </w:r>
      <w:r w:rsidR="00D86C5E" w:rsidRPr="003D6532">
        <w:rPr>
          <w:lang w:val="en-US"/>
        </w:rPr>
        <w:t>strateg</w:t>
      </w:r>
      <w:r w:rsidR="00D86C5E">
        <w:rPr>
          <w:lang w:val="en-US"/>
        </w:rPr>
        <w:t>y</w:t>
      </w:r>
      <w:r w:rsidR="004A5D72" w:rsidRPr="003D6532">
        <w:rPr>
          <w:lang w:val="en-US"/>
        </w:rPr>
        <w:t xml:space="preserve"> of social reproduction.</w:t>
      </w:r>
      <w:r w:rsidR="00C04F1A" w:rsidRPr="003D6532">
        <w:rPr>
          <w:lang w:val="en-US"/>
        </w:rPr>
        <w:t xml:space="preserve"> </w:t>
      </w:r>
    </w:p>
    <w:p w14:paraId="5A0CEF30" w14:textId="3920E6F5" w:rsidR="00BA3A7C" w:rsidRPr="003D6532" w:rsidRDefault="007F75C3" w:rsidP="00BA3A7C">
      <w:pPr>
        <w:rPr>
          <w:lang w:val="en-US"/>
        </w:rPr>
      </w:pPr>
      <w:r w:rsidRPr="003D6532">
        <w:rPr>
          <w:lang w:val="en-US"/>
        </w:rPr>
        <w:t>W</w:t>
      </w:r>
      <w:r w:rsidR="003A78FE" w:rsidRPr="003D6532">
        <w:rPr>
          <w:lang w:val="en-US"/>
        </w:rPr>
        <w:t xml:space="preserve">e </w:t>
      </w:r>
      <w:r w:rsidR="005E7B32" w:rsidRPr="003D6532">
        <w:rPr>
          <w:lang w:val="en-US"/>
        </w:rPr>
        <w:t xml:space="preserve">would like to recognize certain limitations </w:t>
      </w:r>
      <w:r w:rsidR="00D86C5E">
        <w:rPr>
          <w:lang w:val="en-US"/>
        </w:rPr>
        <w:t xml:space="preserve">of </w:t>
      </w:r>
      <w:r w:rsidR="005E7B32" w:rsidRPr="003D6532">
        <w:rPr>
          <w:lang w:val="en-US"/>
        </w:rPr>
        <w:t xml:space="preserve">our findings. </w:t>
      </w:r>
      <w:r w:rsidR="00EE05D6" w:rsidRPr="003D6532">
        <w:rPr>
          <w:lang w:val="en-US"/>
        </w:rPr>
        <w:t xml:space="preserve">First, we </w:t>
      </w:r>
      <w:r w:rsidR="003A78FE" w:rsidRPr="003D6532">
        <w:rPr>
          <w:lang w:val="en-US"/>
        </w:rPr>
        <w:t xml:space="preserve">cannot </w:t>
      </w:r>
      <w:r w:rsidR="00E21CB5" w:rsidRPr="003D6532">
        <w:rPr>
          <w:lang w:val="en-US"/>
        </w:rPr>
        <w:t xml:space="preserve">assert </w:t>
      </w:r>
      <w:r w:rsidR="003A78FE" w:rsidRPr="003D6532">
        <w:rPr>
          <w:lang w:val="en-US"/>
        </w:rPr>
        <w:t xml:space="preserve">that </w:t>
      </w:r>
      <w:r w:rsidR="008B68AD" w:rsidRPr="003D6532">
        <w:rPr>
          <w:lang w:val="en-US"/>
        </w:rPr>
        <w:t xml:space="preserve">the motive </w:t>
      </w:r>
      <w:r w:rsidR="00E21CB5" w:rsidRPr="003D6532">
        <w:rPr>
          <w:lang w:val="en-US"/>
        </w:rPr>
        <w:t xml:space="preserve">of avoiding </w:t>
      </w:r>
      <w:r w:rsidR="00D86C5E">
        <w:rPr>
          <w:lang w:val="en-US"/>
        </w:rPr>
        <w:t xml:space="preserve">the </w:t>
      </w:r>
      <w:r w:rsidR="00E21CB5" w:rsidRPr="003D6532">
        <w:rPr>
          <w:lang w:val="en-US"/>
        </w:rPr>
        <w:t xml:space="preserve">USE and strict meritocratic rules of selection </w:t>
      </w:r>
      <w:r w:rsidR="003A78FE" w:rsidRPr="003D6532">
        <w:rPr>
          <w:lang w:val="en-US"/>
        </w:rPr>
        <w:t xml:space="preserve">is the only </w:t>
      </w:r>
      <w:r w:rsidR="003A78FE" w:rsidRPr="003D6532">
        <w:rPr>
          <w:lang w:val="en-US"/>
        </w:rPr>
        <w:lastRenderedPageBreak/>
        <w:t xml:space="preserve">motive </w:t>
      </w:r>
      <w:r w:rsidR="00D86C5E">
        <w:rPr>
          <w:lang w:val="en-US"/>
        </w:rPr>
        <w:t xml:space="preserve">that </w:t>
      </w:r>
      <w:r w:rsidR="003A78FE" w:rsidRPr="003D6532">
        <w:rPr>
          <w:lang w:val="en-US"/>
        </w:rPr>
        <w:t xml:space="preserve">might </w:t>
      </w:r>
      <w:r w:rsidR="001665D3" w:rsidRPr="003D6532">
        <w:rPr>
          <w:lang w:val="en-US"/>
        </w:rPr>
        <w:t>force</w:t>
      </w:r>
      <w:r w:rsidR="003A78FE" w:rsidRPr="003D6532">
        <w:rPr>
          <w:lang w:val="en-US"/>
        </w:rPr>
        <w:t xml:space="preserve"> </w:t>
      </w:r>
      <w:r w:rsidR="001665D3" w:rsidRPr="003D6532">
        <w:rPr>
          <w:lang w:val="en-US"/>
        </w:rPr>
        <w:t xml:space="preserve">lower performing </w:t>
      </w:r>
      <w:r w:rsidR="003A78FE" w:rsidRPr="003D6532">
        <w:rPr>
          <w:lang w:val="en-US"/>
        </w:rPr>
        <w:t xml:space="preserve">upper class children </w:t>
      </w:r>
      <w:r w:rsidR="001665D3" w:rsidRPr="003D6532">
        <w:rPr>
          <w:lang w:val="en-US"/>
        </w:rPr>
        <w:t xml:space="preserve">to </w:t>
      </w:r>
      <w:r w:rsidR="00D86C5E">
        <w:rPr>
          <w:lang w:val="en-US"/>
        </w:rPr>
        <w:t xml:space="preserve">use </w:t>
      </w:r>
      <w:r w:rsidR="00FC7DB7" w:rsidRPr="003D6532">
        <w:rPr>
          <w:lang w:val="en-US"/>
        </w:rPr>
        <w:t>alternative pathways to</w:t>
      </w:r>
      <w:r w:rsidR="001665D3" w:rsidRPr="003D6532">
        <w:rPr>
          <w:lang w:val="en-US"/>
        </w:rPr>
        <w:t xml:space="preserve"> hi</w:t>
      </w:r>
      <w:r w:rsidR="00CC1AC9" w:rsidRPr="003D6532">
        <w:rPr>
          <w:lang w:val="en-US"/>
        </w:rPr>
        <w:t xml:space="preserve">gher education. </w:t>
      </w:r>
      <w:r w:rsidR="00AF254A" w:rsidRPr="003D6532">
        <w:rPr>
          <w:lang w:val="en-US"/>
        </w:rPr>
        <w:t xml:space="preserve">According to the </w:t>
      </w:r>
      <w:r w:rsidR="00EA4D63" w:rsidRPr="003D6532">
        <w:rPr>
          <w:lang w:val="en-US"/>
        </w:rPr>
        <w:t>‘</w:t>
      </w:r>
      <w:r w:rsidR="00CC1AC9" w:rsidRPr="003D6532">
        <w:rPr>
          <w:lang w:val="en-US"/>
        </w:rPr>
        <w:t>safety net</w:t>
      </w:r>
      <w:r w:rsidR="00EA4D63" w:rsidRPr="003D6532">
        <w:rPr>
          <w:lang w:val="en-US"/>
        </w:rPr>
        <w:t>’</w:t>
      </w:r>
      <w:r w:rsidR="001665D3" w:rsidRPr="003D6532">
        <w:rPr>
          <w:lang w:val="en-US"/>
        </w:rPr>
        <w:t xml:space="preserve"> hypothesis</w:t>
      </w:r>
      <w:r w:rsidR="00321F1C" w:rsidRPr="003D6532">
        <w:rPr>
          <w:lang w:val="en-US"/>
        </w:rPr>
        <w:t xml:space="preserve"> </w:t>
      </w:r>
      <w:r w:rsidR="0042477D" w:rsidRPr="003D6532">
        <w:rPr>
          <w:rFonts w:cs="Times New Roman"/>
          <w:szCs w:val="24"/>
          <w:lang w:val="en-US"/>
        </w:rPr>
        <w:t>(</w:t>
      </w:r>
      <w:proofErr w:type="spellStart"/>
      <w:r w:rsidR="0042477D" w:rsidRPr="003D6532">
        <w:rPr>
          <w:rFonts w:cs="Times New Roman"/>
          <w:szCs w:val="24"/>
          <w:lang w:val="en-US"/>
        </w:rPr>
        <w:t>Büchel</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Helberger</w:t>
      </w:r>
      <w:proofErr w:type="spellEnd"/>
      <w:r w:rsidR="0042477D" w:rsidRPr="003D6532">
        <w:rPr>
          <w:rFonts w:cs="Times New Roman"/>
          <w:szCs w:val="24"/>
          <w:lang w:val="en-US"/>
        </w:rPr>
        <w:t xml:space="preserve"> 1995; </w:t>
      </w:r>
      <w:proofErr w:type="spellStart"/>
      <w:r w:rsidR="0042477D" w:rsidRPr="003D6532">
        <w:rPr>
          <w:rFonts w:cs="Times New Roman"/>
          <w:szCs w:val="24"/>
          <w:lang w:val="en-US"/>
        </w:rPr>
        <w:t>Shavit</w:t>
      </w:r>
      <w:proofErr w:type="spellEnd"/>
      <w:r w:rsidR="0042477D" w:rsidRPr="003D6532">
        <w:rPr>
          <w:rFonts w:cs="Times New Roman"/>
          <w:szCs w:val="24"/>
          <w:lang w:val="en-US"/>
        </w:rPr>
        <w:t xml:space="preserve"> and Muller 2000; Becker and </w:t>
      </w:r>
      <w:proofErr w:type="spellStart"/>
      <w:r w:rsidR="0042477D" w:rsidRPr="003D6532">
        <w:rPr>
          <w:rFonts w:cs="Times New Roman"/>
          <w:szCs w:val="24"/>
          <w:lang w:val="en-US"/>
        </w:rPr>
        <w:t>Hecken</w:t>
      </w:r>
      <w:proofErr w:type="spellEnd"/>
      <w:r w:rsidR="0042477D" w:rsidRPr="003D6532">
        <w:rPr>
          <w:rFonts w:cs="Times New Roman"/>
          <w:szCs w:val="24"/>
          <w:lang w:val="en-US"/>
        </w:rPr>
        <w:t xml:space="preserve"> 2009)</w:t>
      </w:r>
      <w:r w:rsidR="00D86C5E">
        <w:rPr>
          <w:rFonts w:cs="Times New Roman"/>
          <w:szCs w:val="24"/>
          <w:lang w:val="en-US"/>
        </w:rPr>
        <w:t>,</w:t>
      </w:r>
      <w:r w:rsidR="00AF254A" w:rsidRPr="003D6532">
        <w:rPr>
          <w:lang w:val="en-US"/>
        </w:rPr>
        <w:t xml:space="preserve"> such children might opt for vocational qualifications </w:t>
      </w:r>
      <w:r w:rsidR="00D86C5E">
        <w:rPr>
          <w:lang w:val="en-US"/>
        </w:rPr>
        <w:t xml:space="preserve">in order to </w:t>
      </w:r>
      <w:r w:rsidR="00AF254A" w:rsidRPr="003D6532">
        <w:rPr>
          <w:lang w:val="en-US"/>
        </w:rPr>
        <w:t>secur</w:t>
      </w:r>
      <w:r w:rsidR="00D86C5E">
        <w:rPr>
          <w:lang w:val="en-US"/>
        </w:rPr>
        <w:t>e</w:t>
      </w:r>
      <w:r w:rsidR="00AF254A" w:rsidRPr="003D6532">
        <w:rPr>
          <w:lang w:val="en-US"/>
        </w:rPr>
        <w:t xml:space="preserve"> at least some level of qualification before </w:t>
      </w:r>
      <w:r w:rsidR="00D86C5E">
        <w:rPr>
          <w:lang w:val="en-US"/>
        </w:rPr>
        <w:t xml:space="preserve">pursuing </w:t>
      </w:r>
      <w:r w:rsidR="00AF254A" w:rsidRPr="003D6532">
        <w:rPr>
          <w:lang w:val="en-US"/>
        </w:rPr>
        <w:t>a risky route to higher education</w:t>
      </w:r>
      <w:r w:rsidR="00A87A99" w:rsidRPr="003D6532">
        <w:rPr>
          <w:lang w:val="en-US"/>
        </w:rPr>
        <w:t xml:space="preserve">. </w:t>
      </w:r>
      <w:r w:rsidR="00AF254A" w:rsidRPr="003D6532">
        <w:rPr>
          <w:lang w:val="en-US"/>
        </w:rPr>
        <w:t>W</w:t>
      </w:r>
      <w:r w:rsidR="00ED72BE" w:rsidRPr="003D6532">
        <w:rPr>
          <w:lang w:val="en-US"/>
        </w:rPr>
        <w:t xml:space="preserve">e </w:t>
      </w:r>
      <w:r w:rsidR="007C56FE" w:rsidRPr="003D6532">
        <w:rPr>
          <w:lang w:val="en-US"/>
        </w:rPr>
        <w:t>argue</w:t>
      </w:r>
      <w:r w:rsidR="00AF254A" w:rsidRPr="003D6532">
        <w:rPr>
          <w:lang w:val="en-US"/>
        </w:rPr>
        <w:t>d</w:t>
      </w:r>
      <w:r w:rsidR="007C56FE" w:rsidRPr="003D6532">
        <w:rPr>
          <w:lang w:val="en-US"/>
        </w:rPr>
        <w:t xml:space="preserve"> that </w:t>
      </w:r>
      <w:r w:rsidR="00E21CB5" w:rsidRPr="003D6532">
        <w:rPr>
          <w:lang w:val="en-US"/>
        </w:rPr>
        <w:t xml:space="preserve">the </w:t>
      </w:r>
      <w:r w:rsidR="00ED72BE" w:rsidRPr="003D6532">
        <w:rPr>
          <w:lang w:val="en-US"/>
        </w:rPr>
        <w:t xml:space="preserve">safety net hypothesis </w:t>
      </w:r>
      <w:r w:rsidR="007C56FE" w:rsidRPr="003D6532">
        <w:rPr>
          <w:lang w:val="en-US"/>
        </w:rPr>
        <w:t xml:space="preserve">is less applicable </w:t>
      </w:r>
      <w:r w:rsidR="00ED72BE" w:rsidRPr="003D6532">
        <w:rPr>
          <w:lang w:val="en-US"/>
        </w:rPr>
        <w:t>in the Russian context</w:t>
      </w:r>
      <w:r w:rsidR="00D86C5E">
        <w:rPr>
          <w:lang w:val="en-US"/>
        </w:rPr>
        <w:t xml:space="preserve"> </w:t>
      </w:r>
      <w:r w:rsidR="00AF254A" w:rsidRPr="003D6532">
        <w:rPr>
          <w:lang w:val="en-US"/>
        </w:rPr>
        <w:t>because it</w:t>
      </w:r>
      <w:r w:rsidR="00CC1AC9" w:rsidRPr="003D6532">
        <w:rPr>
          <w:lang w:val="en-US"/>
        </w:rPr>
        <w:t xml:space="preserve"> hinges on the assumption of </w:t>
      </w:r>
      <w:r w:rsidR="00AF254A" w:rsidRPr="003D6532">
        <w:rPr>
          <w:lang w:val="en-US"/>
        </w:rPr>
        <w:t xml:space="preserve">the </w:t>
      </w:r>
      <w:r w:rsidR="00CC1AC9" w:rsidRPr="003D6532">
        <w:rPr>
          <w:lang w:val="en-US"/>
        </w:rPr>
        <w:t xml:space="preserve">strong </w:t>
      </w:r>
      <w:r w:rsidR="00AF254A" w:rsidRPr="003D6532">
        <w:rPr>
          <w:lang w:val="en-US"/>
        </w:rPr>
        <w:t>tie</w:t>
      </w:r>
      <w:r w:rsidR="00EC0984" w:rsidRPr="003D6532">
        <w:rPr>
          <w:lang w:val="en-US"/>
        </w:rPr>
        <w:t xml:space="preserve"> </w:t>
      </w:r>
      <w:r w:rsidR="00CC1AC9" w:rsidRPr="003D6532">
        <w:rPr>
          <w:lang w:val="en-US"/>
        </w:rPr>
        <w:t>between the educational system and the labor market</w:t>
      </w:r>
      <w:r w:rsidR="007C7F5D" w:rsidRPr="003D6532">
        <w:rPr>
          <w:lang w:val="en-US"/>
        </w:rPr>
        <w:t xml:space="preserve"> </w:t>
      </w:r>
      <w:r w:rsidR="0042477D" w:rsidRPr="003D6532">
        <w:rPr>
          <w:rFonts w:cs="Times New Roman"/>
          <w:lang w:val="en-US"/>
        </w:rPr>
        <w:t>(</w:t>
      </w:r>
      <w:proofErr w:type="spellStart"/>
      <w:r w:rsidR="0042477D" w:rsidRPr="003D6532">
        <w:rPr>
          <w:rFonts w:cs="Times New Roman"/>
          <w:lang w:val="en-US"/>
        </w:rPr>
        <w:t>Shavit</w:t>
      </w:r>
      <w:proofErr w:type="spellEnd"/>
      <w:r w:rsidR="0042477D" w:rsidRPr="003D6532">
        <w:rPr>
          <w:rFonts w:cs="Times New Roman"/>
          <w:lang w:val="en-US"/>
        </w:rPr>
        <w:t xml:space="preserve"> and Muller 2000)</w:t>
      </w:r>
      <w:r w:rsidR="00153DFC" w:rsidRPr="003D6532">
        <w:rPr>
          <w:lang w:val="en-US"/>
        </w:rPr>
        <w:t xml:space="preserve">, </w:t>
      </w:r>
      <w:r w:rsidR="00064663" w:rsidRPr="003D6532">
        <w:rPr>
          <w:lang w:val="en-US"/>
        </w:rPr>
        <w:t>i.e.</w:t>
      </w:r>
      <w:r w:rsidR="00064663">
        <w:rPr>
          <w:lang w:val="en-US"/>
        </w:rPr>
        <w:t xml:space="preserve">, </w:t>
      </w:r>
      <w:r w:rsidR="00CC1AC9" w:rsidRPr="003D6532">
        <w:rPr>
          <w:lang w:val="en-US"/>
        </w:rPr>
        <w:t xml:space="preserve">vocational qualifications have to provide some advantage over higher education </w:t>
      </w:r>
      <w:r w:rsidR="00C55B5A" w:rsidRPr="003D6532">
        <w:rPr>
          <w:lang w:val="en-US"/>
        </w:rPr>
        <w:t>in the form of transition to secure labor market positions</w:t>
      </w:r>
      <w:r w:rsidR="00D86C5E">
        <w:rPr>
          <w:lang w:val="en-US"/>
        </w:rPr>
        <w:t xml:space="preserve"> </w:t>
      </w:r>
      <w:r w:rsidR="00CD792B" w:rsidRPr="003D6532">
        <w:rPr>
          <w:lang w:val="en-US"/>
        </w:rPr>
        <w:t>in order to fulfill the insurance motive</w:t>
      </w:r>
      <w:r w:rsidR="00CC1AC9" w:rsidRPr="003D6532">
        <w:rPr>
          <w:lang w:val="en-US"/>
        </w:rPr>
        <w:t>.</w:t>
      </w:r>
      <w:r w:rsidR="00C55B5A" w:rsidRPr="003D6532">
        <w:rPr>
          <w:lang w:val="en-US"/>
        </w:rPr>
        <w:t xml:space="preserve"> </w:t>
      </w:r>
      <w:r w:rsidR="00AF254A" w:rsidRPr="003D6532">
        <w:rPr>
          <w:lang w:val="en-US"/>
        </w:rPr>
        <w:t>I</w:t>
      </w:r>
      <w:r w:rsidR="00C55B5A" w:rsidRPr="003D6532">
        <w:rPr>
          <w:lang w:val="en-US"/>
        </w:rPr>
        <w:t>n Russia</w:t>
      </w:r>
      <w:r w:rsidR="00AF254A" w:rsidRPr="003D6532">
        <w:rPr>
          <w:lang w:val="en-US"/>
        </w:rPr>
        <w:t>,</w:t>
      </w:r>
      <w:r w:rsidR="00C55B5A" w:rsidRPr="003D6532">
        <w:rPr>
          <w:lang w:val="en-US"/>
        </w:rPr>
        <w:t xml:space="preserve"> vocational level qualific</w:t>
      </w:r>
      <w:r w:rsidR="004E7338" w:rsidRPr="003D6532">
        <w:rPr>
          <w:lang w:val="en-US"/>
        </w:rPr>
        <w:t>ations do not pr</w:t>
      </w:r>
      <w:r w:rsidR="00C55B5A" w:rsidRPr="003D6532">
        <w:rPr>
          <w:lang w:val="en-US"/>
        </w:rPr>
        <w:t xml:space="preserve">ovide such </w:t>
      </w:r>
      <w:r w:rsidR="00D86C5E">
        <w:rPr>
          <w:lang w:val="en-US"/>
        </w:rPr>
        <w:t xml:space="preserve">an </w:t>
      </w:r>
      <w:r w:rsidR="00C55B5A" w:rsidRPr="003D6532">
        <w:rPr>
          <w:lang w:val="en-US"/>
        </w:rPr>
        <w:t xml:space="preserve">advantage </w:t>
      </w:r>
      <w:r w:rsidR="0042477D" w:rsidRPr="003D6532">
        <w:rPr>
          <w:rFonts w:cs="Times New Roman"/>
          <w:szCs w:val="24"/>
          <w:lang w:val="en-US"/>
        </w:rPr>
        <w:t xml:space="preserve">(Gerber 2003; </w:t>
      </w:r>
      <w:proofErr w:type="spellStart"/>
      <w:r w:rsidR="0042477D" w:rsidRPr="003D6532">
        <w:rPr>
          <w:rFonts w:cs="Times New Roman"/>
          <w:szCs w:val="24"/>
          <w:lang w:val="en-US"/>
        </w:rPr>
        <w:t>Cheidvasser</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Benítez</w:t>
      </w:r>
      <w:proofErr w:type="spellEnd"/>
      <w:r w:rsidR="0042477D" w:rsidRPr="003D6532">
        <w:rPr>
          <w:rFonts w:cs="Times New Roman"/>
          <w:szCs w:val="24"/>
          <w:lang w:val="en-US"/>
        </w:rPr>
        <w:t xml:space="preserve">-Silva 2007; Walker 2007; </w:t>
      </w:r>
      <w:proofErr w:type="spellStart"/>
      <w:r w:rsidR="0042477D" w:rsidRPr="003D6532">
        <w:rPr>
          <w:rFonts w:cs="Times New Roman"/>
          <w:szCs w:val="24"/>
          <w:lang w:val="en-US"/>
        </w:rPr>
        <w:t>Bühler</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Konietzka</w:t>
      </w:r>
      <w:proofErr w:type="spellEnd"/>
      <w:r w:rsidR="0042477D" w:rsidRPr="003D6532">
        <w:rPr>
          <w:rFonts w:cs="Times New Roman"/>
          <w:szCs w:val="24"/>
          <w:lang w:val="en-US"/>
        </w:rPr>
        <w:t xml:space="preserve"> 2011)</w:t>
      </w:r>
      <w:r w:rsidR="00C55B5A" w:rsidRPr="003D6532">
        <w:rPr>
          <w:lang w:val="en-US"/>
        </w:rPr>
        <w:t>.</w:t>
      </w:r>
      <w:r w:rsidR="00AF254A" w:rsidRPr="003D6532">
        <w:rPr>
          <w:lang w:val="en-US"/>
        </w:rPr>
        <w:t xml:space="preserve"> </w:t>
      </w:r>
      <w:r w:rsidR="00D86C5E">
        <w:rPr>
          <w:lang w:val="en-US"/>
        </w:rPr>
        <w:t xml:space="preserve">To </w:t>
      </w:r>
      <w:r w:rsidR="00AF254A" w:rsidRPr="003D6532">
        <w:rPr>
          <w:lang w:val="en-US"/>
        </w:rPr>
        <w:t>weigh alternative arguments empirically</w:t>
      </w:r>
      <w:r w:rsidR="00D86C5E">
        <w:rPr>
          <w:lang w:val="en-US"/>
        </w:rPr>
        <w:t>,</w:t>
      </w:r>
      <w:r w:rsidR="00AF254A" w:rsidRPr="003D6532">
        <w:rPr>
          <w:lang w:val="en-US"/>
        </w:rPr>
        <w:t xml:space="preserve"> additional research is needed.</w:t>
      </w:r>
      <w:r w:rsidR="00BA3A7C" w:rsidRPr="003D6532">
        <w:rPr>
          <w:lang w:val="en-US"/>
        </w:rPr>
        <w:t xml:space="preserve"> </w:t>
      </w:r>
      <w:r w:rsidR="001032A5" w:rsidRPr="003D6532">
        <w:rPr>
          <w:lang w:val="en-US"/>
        </w:rPr>
        <w:t>For more conclusive evidence i</w:t>
      </w:r>
      <w:r w:rsidR="0011172F" w:rsidRPr="003D6532">
        <w:rPr>
          <w:lang w:val="en-US"/>
        </w:rPr>
        <w:t xml:space="preserve">n this regard, future research could compare the distribution of strategies according to ability and social background before and after the </w:t>
      </w:r>
      <w:r w:rsidR="00D86C5E">
        <w:rPr>
          <w:lang w:val="en-US"/>
        </w:rPr>
        <w:t xml:space="preserve">implementation of the </w:t>
      </w:r>
      <w:r w:rsidR="0011172F" w:rsidRPr="003D6532">
        <w:rPr>
          <w:lang w:val="en-US"/>
        </w:rPr>
        <w:t>USE. However, to the best of our knowledge</w:t>
      </w:r>
      <w:r w:rsidR="00D86C5E">
        <w:rPr>
          <w:lang w:val="en-US"/>
        </w:rPr>
        <w:t>,</w:t>
      </w:r>
      <w:r w:rsidR="0011172F" w:rsidRPr="003D6532">
        <w:rPr>
          <w:lang w:val="en-US"/>
        </w:rPr>
        <w:t xml:space="preserve"> such data </w:t>
      </w:r>
      <w:r w:rsidR="00D86C5E">
        <w:rPr>
          <w:lang w:val="en-US"/>
        </w:rPr>
        <w:t xml:space="preserve">do </w:t>
      </w:r>
      <w:r w:rsidR="0011172F" w:rsidRPr="003D6532">
        <w:rPr>
          <w:lang w:val="en-US"/>
        </w:rPr>
        <w:t>not exist. An alternative ‘qualitative’ approach could probe deeper into the narratives of students and families about the real motives of behind their decisions. Both could be valuable extensions to our research.</w:t>
      </w:r>
    </w:p>
    <w:p w14:paraId="1C3FA5AF" w14:textId="215F1739" w:rsidR="00E947A9" w:rsidRPr="003D6532" w:rsidRDefault="00E947A9" w:rsidP="00BA3A7C">
      <w:pPr>
        <w:rPr>
          <w:lang w:val="en-US"/>
        </w:rPr>
      </w:pPr>
      <w:r w:rsidRPr="003D6532">
        <w:rPr>
          <w:lang w:val="en-US"/>
        </w:rPr>
        <w:t>Second, our analysis is limited to a single cohort enjoying</w:t>
      </w:r>
      <w:r w:rsidR="00D86C5E">
        <w:rPr>
          <w:lang w:val="en-US"/>
        </w:rPr>
        <w:t xml:space="preserve"> </w:t>
      </w:r>
      <w:r w:rsidRPr="003D6532">
        <w:rPr>
          <w:lang w:val="en-US"/>
        </w:rPr>
        <w:t>perhaps</w:t>
      </w:r>
      <w:r w:rsidR="00D86C5E">
        <w:rPr>
          <w:lang w:val="en-US"/>
        </w:rPr>
        <w:t xml:space="preserve"> </w:t>
      </w:r>
      <w:r w:rsidRPr="003D6532">
        <w:rPr>
          <w:lang w:val="en-US"/>
        </w:rPr>
        <w:t xml:space="preserve">the lowest amount of competition </w:t>
      </w:r>
      <w:r w:rsidR="00D86C5E">
        <w:rPr>
          <w:lang w:val="en-US"/>
        </w:rPr>
        <w:t xml:space="preserve">because of </w:t>
      </w:r>
      <w:r w:rsidRPr="003D6532">
        <w:rPr>
          <w:lang w:val="en-US"/>
        </w:rPr>
        <w:t xml:space="preserve">the cohort’s sheer size. Students in the </w:t>
      </w:r>
      <w:proofErr w:type="spellStart"/>
      <w:r w:rsidRPr="003D6532">
        <w:rPr>
          <w:lang w:val="en-US"/>
        </w:rPr>
        <w:t>TrEC</w:t>
      </w:r>
      <w:proofErr w:type="spellEnd"/>
      <w:r w:rsidRPr="003D6532">
        <w:rPr>
          <w:lang w:val="en-US"/>
        </w:rPr>
        <w:t xml:space="preserve"> sample belong to the slim generation born in the 1990s, when Russia’s birth rates hit their local historical minimum </w:t>
      </w:r>
      <w:r w:rsidR="0042477D" w:rsidRPr="003D6532">
        <w:rPr>
          <w:rFonts w:cs="Times New Roman"/>
          <w:lang w:val="en-US"/>
        </w:rPr>
        <w:t>(</w:t>
      </w:r>
      <w:proofErr w:type="spellStart"/>
      <w:r w:rsidR="0042477D" w:rsidRPr="003D6532">
        <w:rPr>
          <w:rFonts w:cs="Times New Roman"/>
          <w:lang w:val="en-US"/>
        </w:rPr>
        <w:t>Barkalov</w:t>
      </w:r>
      <w:proofErr w:type="spellEnd"/>
      <w:r w:rsidR="0042477D" w:rsidRPr="003D6532">
        <w:rPr>
          <w:rFonts w:cs="Times New Roman"/>
          <w:lang w:val="en-US"/>
        </w:rPr>
        <w:t xml:space="preserve"> 2005)</w:t>
      </w:r>
      <w:r w:rsidRPr="003D6532">
        <w:rPr>
          <w:lang w:val="en-US"/>
        </w:rPr>
        <w:t>. Therefore</w:t>
      </w:r>
      <w:r w:rsidR="00E8117E" w:rsidRPr="003D6532">
        <w:rPr>
          <w:lang w:val="en-US"/>
        </w:rPr>
        <w:t>,</w:t>
      </w:r>
      <w:r w:rsidRPr="003D6532">
        <w:rPr>
          <w:lang w:val="en-US"/>
        </w:rPr>
        <w:t xml:space="preserve"> the patterns </w:t>
      </w:r>
      <w:r w:rsidR="00D86C5E">
        <w:rPr>
          <w:lang w:val="en-US"/>
        </w:rPr>
        <w:t xml:space="preserve">that </w:t>
      </w:r>
      <w:r w:rsidRPr="003D6532">
        <w:rPr>
          <w:lang w:val="en-US"/>
        </w:rPr>
        <w:t xml:space="preserve">we found might reveal only the tip of the iceberg: as baby boom cohorts born in the early 2000s will flood Russia’s educational system in the nearer future, the competition is likely </w:t>
      </w:r>
      <w:r w:rsidR="00D86C5E">
        <w:rPr>
          <w:lang w:val="en-US"/>
        </w:rPr>
        <w:t xml:space="preserve">to </w:t>
      </w:r>
      <w:r w:rsidRPr="003D6532">
        <w:rPr>
          <w:lang w:val="en-US"/>
        </w:rPr>
        <w:t>increase</w:t>
      </w:r>
      <w:r w:rsidR="00D86C5E">
        <w:rPr>
          <w:lang w:val="en-US"/>
        </w:rPr>
        <w:t>,</w:t>
      </w:r>
      <w:r w:rsidRPr="003D6532">
        <w:rPr>
          <w:lang w:val="en-US"/>
        </w:rPr>
        <w:t xml:space="preserve"> and the patterns should become even more visible.</w:t>
      </w:r>
    </w:p>
    <w:p w14:paraId="3F0870E4" w14:textId="3E908090" w:rsidR="008A0A5E" w:rsidRDefault="00E947A9" w:rsidP="00DF78B6">
      <w:pPr>
        <w:rPr>
          <w:lang w:val="en-US"/>
        </w:rPr>
      </w:pPr>
      <w:r w:rsidRPr="003D6532">
        <w:rPr>
          <w:lang w:val="en-US"/>
        </w:rPr>
        <w:lastRenderedPageBreak/>
        <w:t>Finally</w:t>
      </w:r>
      <w:r w:rsidR="00EE05D6" w:rsidRPr="003D6532">
        <w:rPr>
          <w:lang w:val="en-US"/>
        </w:rPr>
        <w:t>, at this point</w:t>
      </w:r>
      <w:r w:rsidR="00D86C5E">
        <w:rPr>
          <w:lang w:val="en-US"/>
        </w:rPr>
        <w:t>,</w:t>
      </w:r>
      <w:r w:rsidR="00EE05D6" w:rsidRPr="003D6532">
        <w:rPr>
          <w:lang w:val="en-US"/>
        </w:rPr>
        <w:t xml:space="preserve"> we cannot directly assess</w:t>
      </w:r>
      <w:r w:rsidR="002836E7" w:rsidRPr="003D6532">
        <w:rPr>
          <w:lang w:val="en-US"/>
        </w:rPr>
        <w:t xml:space="preserve"> </w:t>
      </w:r>
      <w:r w:rsidR="0011172F" w:rsidRPr="003D6532">
        <w:rPr>
          <w:lang w:val="en-US"/>
        </w:rPr>
        <w:t>how successful</w:t>
      </w:r>
      <w:r w:rsidR="00EE05D6" w:rsidRPr="003D6532">
        <w:rPr>
          <w:lang w:val="en-US"/>
        </w:rPr>
        <w:t xml:space="preserve"> pseudo-academic pathways</w:t>
      </w:r>
      <w:r w:rsidR="0011172F" w:rsidRPr="003D6532">
        <w:rPr>
          <w:lang w:val="en-US"/>
        </w:rPr>
        <w:t xml:space="preserve"> are in </w:t>
      </w:r>
      <w:r w:rsidR="00D86C5E">
        <w:rPr>
          <w:lang w:val="en-US"/>
        </w:rPr>
        <w:t xml:space="preserve">helping </w:t>
      </w:r>
      <w:proofErr w:type="gramStart"/>
      <w:r w:rsidR="00D86C5E">
        <w:rPr>
          <w:lang w:val="en-US"/>
        </w:rPr>
        <w:t>students</w:t>
      </w:r>
      <w:proofErr w:type="gramEnd"/>
      <w:r w:rsidR="00D86C5E">
        <w:rPr>
          <w:lang w:val="en-US"/>
        </w:rPr>
        <w:t xml:space="preserve"> </w:t>
      </w:r>
      <w:r w:rsidR="0011172F" w:rsidRPr="003D6532">
        <w:rPr>
          <w:lang w:val="en-US"/>
        </w:rPr>
        <w:t>complet</w:t>
      </w:r>
      <w:r w:rsidR="00D86C5E">
        <w:rPr>
          <w:lang w:val="en-US"/>
        </w:rPr>
        <w:t>e</w:t>
      </w:r>
      <w:r w:rsidR="00EE05D6" w:rsidRPr="003D6532">
        <w:rPr>
          <w:lang w:val="en-US"/>
        </w:rPr>
        <w:t xml:space="preserve"> higher education </w:t>
      </w:r>
      <w:r w:rsidR="007A3044" w:rsidRPr="003D6532">
        <w:rPr>
          <w:lang w:val="en-US"/>
        </w:rPr>
        <w:t xml:space="preserve">and </w:t>
      </w:r>
      <w:r w:rsidR="0011172F" w:rsidRPr="003D6532">
        <w:rPr>
          <w:lang w:val="en-US"/>
        </w:rPr>
        <w:t>its returns on</w:t>
      </w:r>
      <w:r w:rsidR="00FD3C6C" w:rsidRPr="003D6532">
        <w:rPr>
          <w:lang w:val="en-US"/>
        </w:rPr>
        <w:t xml:space="preserve"> </w:t>
      </w:r>
      <w:r w:rsidR="00EE05D6" w:rsidRPr="003D6532">
        <w:rPr>
          <w:lang w:val="en-US"/>
        </w:rPr>
        <w:t xml:space="preserve">the labor market. </w:t>
      </w:r>
      <w:r w:rsidR="002836E7" w:rsidRPr="003D6532">
        <w:rPr>
          <w:lang w:val="en-US"/>
        </w:rPr>
        <w:t>E</w:t>
      </w:r>
      <w:r w:rsidR="00EE05D6" w:rsidRPr="003D6532">
        <w:rPr>
          <w:lang w:val="en-US"/>
        </w:rPr>
        <w:t xml:space="preserve">xisting studies </w:t>
      </w:r>
      <w:r w:rsidR="009017FB" w:rsidRPr="003D6532">
        <w:rPr>
          <w:lang w:val="en-US"/>
        </w:rPr>
        <w:t xml:space="preserve">suggest </w:t>
      </w:r>
      <w:r w:rsidR="00EE05D6" w:rsidRPr="003D6532">
        <w:rPr>
          <w:lang w:val="en-US"/>
        </w:rPr>
        <w:t xml:space="preserve">that students with vocational background </w:t>
      </w:r>
      <w:r w:rsidR="009017FB" w:rsidRPr="003D6532">
        <w:rPr>
          <w:lang w:val="en-US"/>
        </w:rPr>
        <w:t>often interrupt their educational careers in higher education</w:t>
      </w:r>
      <w:r w:rsidR="00EE05D6" w:rsidRPr="003D6532">
        <w:rPr>
          <w:lang w:val="en-US"/>
        </w:rPr>
        <w:t xml:space="preserve"> </w:t>
      </w:r>
      <w:r w:rsidR="0042477D" w:rsidRPr="003D6532">
        <w:rPr>
          <w:rFonts w:cs="Times New Roman"/>
          <w:lang w:val="en-US"/>
        </w:rPr>
        <w:t xml:space="preserve">(Brown, </w:t>
      </w:r>
      <w:proofErr w:type="spellStart"/>
      <w:r w:rsidR="0042477D" w:rsidRPr="003D6532">
        <w:rPr>
          <w:rFonts w:cs="Times New Roman"/>
          <w:lang w:val="en-US"/>
        </w:rPr>
        <w:t>Moerkamp</w:t>
      </w:r>
      <w:proofErr w:type="spellEnd"/>
      <w:r w:rsidR="0042477D" w:rsidRPr="003D6532">
        <w:rPr>
          <w:rFonts w:cs="Times New Roman"/>
          <w:lang w:val="en-US"/>
        </w:rPr>
        <w:t xml:space="preserve">, and </w:t>
      </w:r>
      <w:proofErr w:type="spellStart"/>
      <w:r w:rsidR="0042477D" w:rsidRPr="003D6532">
        <w:rPr>
          <w:rFonts w:cs="Times New Roman"/>
          <w:lang w:val="en-US"/>
        </w:rPr>
        <w:t>Voncken</w:t>
      </w:r>
      <w:proofErr w:type="spellEnd"/>
      <w:r w:rsidR="0042477D" w:rsidRPr="003D6532">
        <w:rPr>
          <w:rFonts w:cs="Times New Roman"/>
          <w:lang w:val="en-US"/>
        </w:rPr>
        <w:t xml:space="preserve"> 1999)</w:t>
      </w:r>
      <w:r w:rsidR="009017FB" w:rsidRPr="003D6532">
        <w:rPr>
          <w:lang w:val="en-US"/>
        </w:rPr>
        <w:t xml:space="preserve"> or end up </w:t>
      </w:r>
      <w:r w:rsidR="0011172F" w:rsidRPr="003D6532">
        <w:rPr>
          <w:lang w:val="en-US"/>
        </w:rPr>
        <w:t>with</w:t>
      </w:r>
      <w:r w:rsidR="009017FB" w:rsidRPr="003D6532">
        <w:rPr>
          <w:lang w:val="en-US"/>
        </w:rPr>
        <w:t xml:space="preserve"> lower quality higher education </w:t>
      </w:r>
      <w:r w:rsidR="0042477D" w:rsidRPr="003D6532">
        <w:rPr>
          <w:rFonts w:cs="Times New Roman"/>
          <w:szCs w:val="24"/>
          <w:lang w:val="en-US"/>
        </w:rPr>
        <w:t>(</w:t>
      </w:r>
      <w:proofErr w:type="spellStart"/>
      <w:r w:rsidR="0042477D" w:rsidRPr="003D6532">
        <w:rPr>
          <w:rFonts w:cs="Times New Roman"/>
          <w:szCs w:val="24"/>
          <w:lang w:val="en-US"/>
        </w:rPr>
        <w:t>Hoelscher</w:t>
      </w:r>
      <w:proofErr w:type="spellEnd"/>
      <w:r w:rsidR="0042477D" w:rsidRPr="003D6532">
        <w:rPr>
          <w:rFonts w:cs="Times New Roman"/>
          <w:szCs w:val="24"/>
          <w:lang w:val="en-US"/>
        </w:rPr>
        <w:t xml:space="preserve"> et al. 2008; </w:t>
      </w:r>
      <w:proofErr w:type="spellStart"/>
      <w:r w:rsidR="0042477D" w:rsidRPr="003D6532">
        <w:rPr>
          <w:rFonts w:cs="Times New Roman"/>
          <w:szCs w:val="24"/>
          <w:lang w:val="en-US"/>
        </w:rPr>
        <w:t>Moodie</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Wheelahan</w:t>
      </w:r>
      <w:proofErr w:type="spellEnd"/>
      <w:r w:rsidR="0042477D" w:rsidRPr="003D6532">
        <w:rPr>
          <w:rFonts w:cs="Times New Roman"/>
          <w:szCs w:val="24"/>
          <w:lang w:val="en-US"/>
        </w:rPr>
        <w:t xml:space="preserve"> 2009; O’Shea, </w:t>
      </w:r>
      <w:proofErr w:type="spellStart"/>
      <w:r w:rsidR="0042477D" w:rsidRPr="003D6532">
        <w:rPr>
          <w:rFonts w:cs="Times New Roman"/>
          <w:szCs w:val="24"/>
          <w:lang w:val="en-US"/>
        </w:rPr>
        <w:t>Lysaght</w:t>
      </w:r>
      <w:proofErr w:type="spellEnd"/>
      <w:r w:rsidR="0042477D" w:rsidRPr="003D6532">
        <w:rPr>
          <w:rFonts w:cs="Times New Roman"/>
          <w:szCs w:val="24"/>
          <w:lang w:val="en-US"/>
        </w:rPr>
        <w:t>, and Tanner 2012)</w:t>
      </w:r>
      <w:r w:rsidR="00EE05D6" w:rsidRPr="003D6532">
        <w:rPr>
          <w:lang w:val="en-US"/>
        </w:rPr>
        <w:t xml:space="preserve">. </w:t>
      </w:r>
      <w:r w:rsidR="009017FB" w:rsidRPr="003D6532">
        <w:rPr>
          <w:lang w:val="en-US"/>
        </w:rPr>
        <w:t>S</w:t>
      </w:r>
      <w:r w:rsidR="00EE05D6" w:rsidRPr="003D6532">
        <w:rPr>
          <w:lang w:val="en-US"/>
        </w:rPr>
        <w:t xml:space="preserve">uch students also tend to spend more time finding adequate employment, and their efforts are not necessarily compensated by higher wages </w:t>
      </w:r>
      <w:r w:rsidR="0042477D" w:rsidRPr="003D6532">
        <w:rPr>
          <w:rFonts w:cs="Times New Roman"/>
          <w:szCs w:val="24"/>
          <w:lang w:val="en-US"/>
        </w:rPr>
        <w:t>(</w:t>
      </w:r>
      <w:proofErr w:type="spellStart"/>
      <w:r w:rsidR="0042477D" w:rsidRPr="003D6532">
        <w:rPr>
          <w:rFonts w:cs="Times New Roman"/>
          <w:szCs w:val="24"/>
          <w:lang w:val="en-US"/>
        </w:rPr>
        <w:t>Büchel</w:t>
      </w:r>
      <w:proofErr w:type="spellEnd"/>
      <w:r w:rsidR="0042477D" w:rsidRPr="003D6532">
        <w:rPr>
          <w:rFonts w:cs="Times New Roman"/>
          <w:szCs w:val="24"/>
          <w:lang w:val="en-US"/>
        </w:rPr>
        <w:t xml:space="preserve"> and </w:t>
      </w:r>
      <w:proofErr w:type="spellStart"/>
      <w:r w:rsidR="0042477D" w:rsidRPr="003D6532">
        <w:rPr>
          <w:rFonts w:cs="Times New Roman"/>
          <w:szCs w:val="24"/>
          <w:lang w:val="en-US"/>
        </w:rPr>
        <w:t>Helberger</w:t>
      </w:r>
      <w:proofErr w:type="spellEnd"/>
      <w:r w:rsidR="0042477D" w:rsidRPr="003D6532">
        <w:rPr>
          <w:rFonts w:cs="Times New Roman"/>
          <w:szCs w:val="24"/>
          <w:lang w:val="en-US"/>
        </w:rPr>
        <w:t xml:space="preserve"> 1995)</w:t>
      </w:r>
      <w:r w:rsidR="00EE05D6" w:rsidRPr="003D6532">
        <w:rPr>
          <w:lang w:val="en-US"/>
        </w:rPr>
        <w:t>.</w:t>
      </w:r>
      <w:r w:rsidR="001032A5" w:rsidRPr="003D6532">
        <w:rPr>
          <w:lang w:val="en-US"/>
        </w:rPr>
        <w:t xml:space="preserve"> In fact, we know that in Russia</w:t>
      </w:r>
      <w:r w:rsidR="00D86C5E">
        <w:rPr>
          <w:lang w:val="en-US"/>
        </w:rPr>
        <w:t>,</w:t>
      </w:r>
      <w:r w:rsidR="001032A5" w:rsidRPr="003D6532">
        <w:rPr>
          <w:lang w:val="en-US"/>
        </w:rPr>
        <w:t xml:space="preserve"> pseudo-academic pathways </w:t>
      </w:r>
      <w:r w:rsidR="00756C42" w:rsidRPr="003D6532">
        <w:rPr>
          <w:lang w:val="en-US"/>
        </w:rPr>
        <w:t xml:space="preserve">lead to less prestigious higher education </w:t>
      </w:r>
      <w:r w:rsidR="00DB7048" w:rsidRPr="003D6532">
        <w:rPr>
          <w:lang w:val="en-US"/>
        </w:rPr>
        <w:t>(</w:t>
      </w:r>
      <w:proofErr w:type="spellStart"/>
      <w:r w:rsidR="00DB7048" w:rsidRPr="003D6532">
        <w:rPr>
          <w:lang w:val="en-US"/>
        </w:rPr>
        <w:t>Kosyakova</w:t>
      </w:r>
      <w:proofErr w:type="spellEnd"/>
      <w:r w:rsidR="00DB7048" w:rsidRPr="003D6532">
        <w:rPr>
          <w:lang w:val="en-US"/>
        </w:rPr>
        <w:t xml:space="preserve"> et al., 2015) </w:t>
      </w:r>
      <w:r w:rsidR="00756C42" w:rsidRPr="003D6532">
        <w:rPr>
          <w:lang w:val="en-US"/>
        </w:rPr>
        <w:t xml:space="preserve">and </w:t>
      </w:r>
      <w:r w:rsidR="00CF348F" w:rsidRPr="003D6532">
        <w:rPr>
          <w:lang w:val="en-US"/>
        </w:rPr>
        <w:t xml:space="preserve">less </w:t>
      </w:r>
      <w:r w:rsidR="00735CF4" w:rsidRPr="003D6532">
        <w:rPr>
          <w:lang w:val="en-US"/>
        </w:rPr>
        <w:t xml:space="preserve">lucrative </w:t>
      </w:r>
      <w:r w:rsidR="00756C42" w:rsidRPr="003D6532">
        <w:rPr>
          <w:lang w:val="en-US"/>
        </w:rPr>
        <w:t xml:space="preserve">part-time education </w:t>
      </w:r>
      <w:r w:rsidR="0042477D" w:rsidRPr="003D6532">
        <w:rPr>
          <w:rFonts w:cs="Times New Roman"/>
          <w:lang w:val="en-US"/>
        </w:rPr>
        <w:t>(</w:t>
      </w:r>
      <w:proofErr w:type="spellStart"/>
      <w:r w:rsidR="0042477D" w:rsidRPr="003D6532">
        <w:rPr>
          <w:rFonts w:cs="Times New Roman"/>
          <w:lang w:val="en-US"/>
        </w:rPr>
        <w:t>Alexandrov</w:t>
      </w:r>
      <w:proofErr w:type="spellEnd"/>
      <w:r w:rsidR="0042477D" w:rsidRPr="003D6532">
        <w:rPr>
          <w:rFonts w:cs="Times New Roman"/>
          <w:lang w:val="en-US"/>
        </w:rPr>
        <w:t xml:space="preserve"> et al. 2015)</w:t>
      </w:r>
      <w:r w:rsidR="00D86C5E">
        <w:rPr>
          <w:lang w:val="en-US"/>
        </w:rPr>
        <w:t>, which</w:t>
      </w:r>
      <w:r w:rsidR="00756C42" w:rsidRPr="003D6532">
        <w:rPr>
          <w:lang w:val="en-US"/>
        </w:rPr>
        <w:t xml:space="preserve"> </w:t>
      </w:r>
      <w:r w:rsidR="00926C94" w:rsidRPr="003D6532">
        <w:rPr>
          <w:lang w:val="en-US"/>
        </w:rPr>
        <w:t xml:space="preserve">might temper both the optimistic and pessimistic implications of pseudo-academic pathways for broader social inequality. </w:t>
      </w:r>
      <w:r w:rsidR="0085560C" w:rsidRPr="003D6532">
        <w:rPr>
          <w:lang w:val="en-US"/>
        </w:rPr>
        <w:t>D</w:t>
      </w:r>
      <w:r w:rsidR="00EE05D6" w:rsidRPr="003D6532">
        <w:rPr>
          <w:lang w:val="en-US"/>
        </w:rPr>
        <w:t>ata</w:t>
      </w:r>
      <w:r w:rsidR="00C3066A" w:rsidRPr="003D6532">
        <w:rPr>
          <w:lang w:val="en-US"/>
        </w:rPr>
        <w:t xml:space="preserve"> on school-to-work transitions and early careers</w:t>
      </w:r>
      <w:r w:rsidR="00EE05D6" w:rsidRPr="003D6532">
        <w:rPr>
          <w:lang w:val="en-US"/>
        </w:rPr>
        <w:t xml:space="preserve"> </w:t>
      </w:r>
      <w:r w:rsidR="00C3066A" w:rsidRPr="003D6532">
        <w:rPr>
          <w:lang w:val="en-US"/>
        </w:rPr>
        <w:t>should</w:t>
      </w:r>
      <w:r w:rsidR="00EE05D6" w:rsidRPr="003D6532">
        <w:rPr>
          <w:lang w:val="en-US"/>
        </w:rPr>
        <w:t xml:space="preserve"> become available in the future waves of </w:t>
      </w:r>
      <w:r w:rsidR="00D86C5E">
        <w:rPr>
          <w:lang w:val="en-US"/>
        </w:rPr>
        <w:t xml:space="preserve">the </w:t>
      </w:r>
      <w:proofErr w:type="spellStart"/>
      <w:r w:rsidR="00EE05D6" w:rsidRPr="003D6532">
        <w:rPr>
          <w:lang w:val="en-US"/>
        </w:rPr>
        <w:t>TrEC</w:t>
      </w:r>
      <w:proofErr w:type="spellEnd"/>
      <w:r w:rsidR="00EE05D6" w:rsidRPr="003D6532">
        <w:rPr>
          <w:lang w:val="en-US"/>
        </w:rPr>
        <w:t xml:space="preserve"> survey</w:t>
      </w:r>
      <w:r w:rsidR="00D86C5E">
        <w:rPr>
          <w:lang w:val="en-US"/>
        </w:rPr>
        <w:t>,</w:t>
      </w:r>
      <w:r w:rsidR="00926C94" w:rsidRPr="003D6532">
        <w:rPr>
          <w:lang w:val="en-US"/>
        </w:rPr>
        <w:t xml:space="preserve"> and</w:t>
      </w:r>
      <w:r w:rsidR="00790373" w:rsidRPr="003D6532">
        <w:rPr>
          <w:lang w:val="en-US"/>
        </w:rPr>
        <w:t xml:space="preserve"> </w:t>
      </w:r>
      <w:r w:rsidR="00D86C5E">
        <w:rPr>
          <w:lang w:val="en-US"/>
        </w:rPr>
        <w:t xml:space="preserve">they </w:t>
      </w:r>
      <w:r w:rsidR="00790373" w:rsidRPr="003D6532">
        <w:rPr>
          <w:lang w:val="en-US"/>
        </w:rPr>
        <w:t>would</w:t>
      </w:r>
      <w:r w:rsidR="00926C94" w:rsidRPr="003D6532">
        <w:rPr>
          <w:lang w:val="en-US"/>
        </w:rPr>
        <w:t xml:space="preserve"> enable us to shed more light on these issues.</w:t>
      </w:r>
    </w:p>
    <w:p w14:paraId="1AFEAD44" w14:textId="77777777" w:rsidR="00D058B3" w:rsidRDefault="00D058B3" w:rsidP="00DF78B6">
      <w:pPr>
        <w:rPr>
          <w:lang w:val="en-US"/>
        </w:rPr>
      </w:pPr>
    </w:p>
    <w:p w14:paraId="14832FF7" w14:textId="761337D8" w:rsidR="00D058B3" w:rsidRDefault="00EC71C7" w:rsidP="00D058B3">
      <w:pPr>
        <w:pStyle w:val="Heading1"/>
        <w:rPr>
          <w:lang w:val="en-US"/>
        </w:rPr>
        <w:sectPr w:rsidR="00D058B3" w:rsidSect="004D5AB8">
          <w:footerReference w:type="default" r:id="rId9"/>
          <w:footnotePr>
            <w:numFmt w:val="lowerRoman"/>
          </w:footnotePr>
          <w:endnotePr>
            <w:numFmt w:val="decimal"/>
          </w:endnotePr>
          <w:pgSz w:w="11906" w:h="16838"/>
          <w:pgMar w:top="1418" w:right="1418" w:bottom="1418" w:left="1418" w:header="709" w:footer="709" w:gutter="0"/>
          <w:cols w:space="708"/>
          <w:docGrid w:linePitch="360"/>
        </w:sectPr>
      </w:pPr>
      <w:r>
        <w:rPr>
          <w:lang w:val="en-US"/>
        </w:rPr>
        <w:t>Endn</w:t>
      </w:r>
      <w:r w:rsidR="00D058B3">
        <w:rPr>
          <w:lang w:val="en-US"/>
        </w:rPr>
        <w:t>otes</w:t>
      </w:r>
    </w:p>
    <w:p w14:paraId="591B7C77" w14:textId="2C81738A" w:rsidR="009111BC" w:rsidRPr="003D6532" w:rsidRDefault="00926C94" w:rsidP="00DF78B6">
      <w:pPr>
        <w:rPr>
          <w:lang w:val="en-US"/>
        </w:rPr>
      </w:pPr>
      <w:r w:rsidRPr="003D6532">
        <w:rPr>
          <w:lang w:val="en-US"/>
        </w:rPr>
        <w:lastRenderedPageBreak/>
        <w:t xml:space="preserve"> </w:t>
      </w:r>
    </w:p>
    <w:p w14:paraId="48359460" w14:textId="77777777" w:rsidR="00DF78B6" w:rsidRPr="003D6532" w:rsidRDefault="00DF78B6" w:rsidP="00DF78B6">
      <w:pPr>
        <w:pStyle w:val="Heading1"/>
        <w:rPr>
          <w:lang w:val="en-US"/>
        </w:rPr>
      </w:pPr>
      <w:r w:rsidRPr="003D6532">
        <w:rPr>
          <w:lang w:val="en-US"/>
        </w:rPr>
        <w:t>References</w:t>
      </w:r>
    </w:p>
    <w:p w14:paraId="3B9EE975" w14:textId="1DA03F1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Alexandrov</w:t>
      </w:r>
      <w:proofErr w:type="spellEnd"/>
      <w:r w:rsidRPr="003D6532">
        <w:rPr>
          <w:lang w:val="en-US"/>
        </w:rPr>
        <w:t xml:space="preserve">, Daniel, </w:t>
      </w:r>
      <w:proofErr w:type="spellStart"/>
      <w:r w:rsidRPr="003D6532">
        <w:rPr>
          <w:lang w:val="en-US"/>
        </w:rPr>
        <w:t>Ksenia</w:t>
      </w:r>
      <w:proofErr w:type="spellEnd"/>
      <w:r w:rsidRPr="003D6532">
        <w:rPr>
          <w:lang w:val="en-US"/>
        </w:rPr>
        <w:t xml:space="preserve"> </w:t>
      </w:r>
      <w:proofErr w:type="spellStart"/>
      <w:r w:rsidRPr="003D6532">
        <w:rPr>
          <w:lang w:val="en-US"/>
        </w:rPr>
        <w:t>Tenisheva</w:t>
      </w:r>
      <w:proofErr w:type="spellEnd"/>
      <w:r w:rsidRPr="003D6532">
        <w:rPr>
          <w:lang w:val="en-US"/>
        </w:rPr>
        <w:t xml:space="preserve">, and Svetlana </w:t>
      </w:r>
      <w:proofErr w:type="spellStart"/>
      <w:r w:rsidRPr="003D6532">
        <w:rPr>
          <w:lang w:val="en-US"/>
        </w:rPr>
        <w:t>Savelyeva</w:t>
      </w:r>
      <w:proofErr w:type="spellEnd"/>
      <w:r w:rsidRPr="003D6532">
        <w:rPr>
          <w:lang w:val="en-US"/>
        </w:rPr>
        <w:t>.</w:t>
      </w:r>
      <w:proofErr w:type="gramEnd"/>
      <w:r w:rsidRPr="003D6532">
        <w:rPr>
          <w:lang w:val="en-US"/>
        </w:rPr>
        <w:t xml:space="preserve"> 2015. </w:t>
      </w:r>
      <w:r w:rsidRPr="003D6532">
        <w:rPr>
          <w:i/>
          <w:iCs/>
          <w:lang w:val="en-US"/>
        </w:rPr>
        <w:t>Safe Mobility: University after Technical College Pathway</w:t>
      </w:r>
      <w:r w:rsidRPr="003D6532">
        <w:rPr>
          <w:lang w:val="en-US"/>
        </w:rPr>
        <w:t>. Moscow: National Research University Higher School of Economi</w:t>
      </w:r>
      <w:r w:rsidR="00B203E6" w:rsidRPr="003D6532">
        <w:rPr>
          <w:lang w:val="en-US"/>
        </w:rPr>
        <w:t xml:space="preserve">cs. </w:t>
      </w:r>
      <w:proofErr w:type="gramStart"/>
      <w:r w:rsidR="00B203E6" w:rsidRPr="003D6532">
        <w:rPr>
          <w:lang w:val="en-US"/>
        </w:rPr>
        <w:t>Retrieved February 28, 2017.</w:t>
      </w:r>
      <w:proofErr w:type="gramEnd"/>
    </w:p>
    <w:p w14:paraId="5A6F1401"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Allmendinger</w:t>
      </w:r>
      <w:proofErr w:type="spellEnd"/>
      <w:r w:rsidRPr="003D6532">
        <w:rPr>
          <w:lang w:val="en-US"/>
        </w:rPr>
        <w:t xml:space="preserve">, </w:t>
      </w:r>
      <w:proofErr w:type="spellStart"/>
      <w:r w:rsidRPr="003D6532">
        <w:rPr>
          <w:lang w:val="en-US"/>
        </w:rPr>
        <w:t>Jutta</w:t>
      </w:r>
      <w:proofErr w:type="spellEnd"/>
      <w:r w:rsidRPr="003D6532">
        <w:rPr>
          <w:lang w:val="en-US"/>
        </w:rPr>
        <w:t xml:space="preserve">. 1989. “Educational Systems and Labor Market Outcomes.” </w:t>
      </w:r>
      <w:r w:rsidRPr="003D6532">
        <w:rPr>
          <w:i/>
          <w:iCs/>
          <w:lang w:val="en-US"/>
        </w:rPr>
        <w:t>European Sociological Review</w:t>
      </w:r>
      <w:r w:rsidRPr="003D6532">
        <w:rPr>
          <w:lang w:val="en-US"/>
        </w:rPr>
        <w:t xml:space="preserve"> 5(3):231–50.</w:t>
      </w:r>
    </w:p>
    <w:p w14:paraId="4E91307D"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Ayalon</w:t>
      </w:r>
      <w:proofErr w:type="spellEnd"/>
      <w:r w:rsidRPr="003D6532">
        <w:rPr>
          <w:lang w:val="en-US"/>
        </w:rPr>
        <w:t xml:space="preserve">, Hanna and Adam </w:t>
      </w:r>
      <w:proofErr w:type="spellStart"/>
      <w:r w:rsidRPr="003D6532">
        <w:rPr>
          <w:lang w:val="en-US"/>
        </w:rPr>
        <w:t>Gamoran</w:t>
      </w:r>
      <w:proofErr w:type="spellEnd"/>
      <w:r w:rsidRPr="003D6532">
        <w:rPr>
          <w:lang w:val="en-US"/>
        </w:rPr>
        <w:t>.</w:t>
      </w:r>
      <w:proofErr w:type="gramEnd"/>
      <w:r w:rsidRPr="003D6532">
        <w:rPr>
          <w:lang w:val="en-US"/>
        </w:rPr>
        <w:t xml:space="preserve"> 2000. “Stratification in Academic Secondary Programs and Educational Inequality in Israel and the United States.” </w:t>
      </w:r>
      <w:r w:rsidRPr="003D6532">
        <w:rPr>
          <w:i/>
          <w:iCs/>
          <w:lang w:val="en-US"/>
        </w:rPr>
        <w:t>Comparative Education Review</w:t>
      </w:r>
      <w:r w:rsidRPr="003D6532">
        <w:rPr>
          <w:lang w:val="en-US"/>
        </w:rPr>
        <w:t xml:space="preserve"> 44(1):54–80.</w:t>
      </w:r>
    </w:p>
    <w:p w14:paraId="32FE1296"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Bandias</w:t>
      </w:r>
      <w:proofErr w:type="spellEnd"/>
      <w:r w:rsidRPr="003D6532">
        <w:rPr>
          <w:lang w:val="en-US"/>
        </w:rPr>
        <w:t xml:space="preserve">, Susan, Don Fuller, and Darius </w:t>
      </w:r>
      <w:proofErr w:type="spellStart"/>
      <w:r w:rsidRPr="003D6532">
        <w:rPr>
          <w:lang w:val="en-US"/>
        </w:rPr>
        <w:t>Pfitzner</w:t>
      </w:r>
      <w:proofErr w:type="spellEnd"/>
      <w:r w:rsidRPr="003D6532">
        <w:rPr>
          <w:lang w:val="en-US"/>
        </w:rPr>
        <w:t>.</w:t>
      </w:r>
      <w:proofErr w:type="gramEnd"/>
      <w:r w:rsidRPr="003D6532">
        <w:rPr>
          <w:lang w:val="en-US"/>
        </w:rPr>
        <w:t xml:space="preserve"> 2011. “Vocational and Higher Education in Australia: A Need for Closer Collaboration.” </w:t>
      </w:r>
      <w:r w:rsidRPr="003D6532">
        <w:rPr>
          <w:i/>
          <w:iCs/>
          <w:lang w:val="en-US"/>
        </w:rPr>
        <w:t>Journal of Higher Education Policy and Management</w:t>
      </w:r>
      <w:r w:rsidRPr="003D6532">
        <w:rPr>
          <w:lang w:val="en-US"/>
        </w:rPr>
        <w:t xml:space="preserve"> 33(6):583–94.</w:t>
      </w:r>
    </w:p>
    <w:p w14:paraId="581BE2E7"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Barkalov</w:t>
      </w:r>
      <w:proofErr w:type="spellEnd"/>
      <w:r w:rsidRPr="003D6532">
        <w:rPr>
          <w:lang w:val="en-US"/>
        </w:rPr>
        <w:t xml:space="preserve">, Nicholas B. 2005. “Changes in the Quantum of Russian Fertility </w:t>
      </w:r>
      <w:proofErr w:type="gramStart"/>
      <w:r w:rsidRPr="003D6532">
        <w:rPr>
          <w:lang w:val="en-US"/>
        </w:rPr>
        <w:t>During</w:t>
      </w:r>
      <w:proofErr w:type="gramEnd"/>
      <w:r w:rsidRPr="003D6532">
        <w:rPr>
          <w:lang w:val="en-US"/>
        </w:rPr>
        <w:t xml:space="preserve"> the 1980s and Early 1990s.” </w:t>
      </w:r>
      <w:r w:rsidRPr="003D6532">
        <w:rPr>
          <w:i/>
          <w:iCs/>
          <w:lang w:val="en-US"/>
        </w:rPr>
        <w:t>Population and Development Review</w:t>
      </w:r>
      <w:r w:rsidRPr="003D6532">
        <w:rPr>
          <w:lang w:val="en-US"/>
        </w:rPr>
        <w:t xml:space="preserve"> 31(3):545–56.</w:t>
      </w:r>
    </w:p>
    <w:p w14:paraId="40DC8CAA"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 xml:space="preserve">Becker, Rolf and Anna E. </w:t>
      </w:r>
      <w:proofErr w:type="spellStart"/>
      <w:r w:rsidRPr="003D6532">
        <w:rPr>
          <w:lang w:val="en-US"/>
        </w:rPr>
        <w:t>Hecken</w:t>
      </w:r>
      <w:proofErr w:type="spellEnd"/>
      <w:r w:rsidRPr="003D6532">
        <w:rPr>
          <w:lang w:val="en-US"/>
        </w:rPr>
        <w:t>.</w:t>
      </w:r>
      <w:proofErr w:type="gramEnd"/>
      <w:r w:rsidRPr="003D6532">
        <w:rPr>
          <w:lang w:val="en-US"/>
        </w:rPr>
        <w:t xml:space="preserve"> 2009. “Why Are Working-Class Children Diverted from Universities?—</w:t>
      </w:r>
      <w:proofErr w:type="gramStart"/>
      <w:r w:rsidRPr="003D6532">
        <w:rPr>
          <w:lang w:val="en-US"/>
        </w:rPr>
        <w:t>An</w:t>
      </w:r>
      <w:proofErr w:type="gramEnd"/>
      <w:r w:rsidRPr="003D6532">
        <w:rPr>
          <w:lang w:val="en-US"/>
        </w:rPr>
        <w:t xml:space="preserve"> Empirical Assessment of the Diversion Thesis.” </w:t>
      </w:r>
      <w:r w:rsidRPr="003D6532">
        <w:rPr>
          <w:i/>
          <w:iCs/>
          <w:lang w:val="en-US"/>
        </w:rPr>
        <w:t>European Sociological Review</w:t>
      </w:r>
      <w:r w:rsidRPr="003D6532">
        <w:rPr>
          <w:lang w:val="en-US"/>
        </w:rPr>
        <w:t xml:space="preserve"> 25(2):233–50.</w:t>
      </w:r>
    </w:p>
    <w:p w14:paraId="680D19F1"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 xml:space="preserve">Bellman, L. and F. </w:t>
      </w:r>
      <w:proofErr w:type="spellStart"/>
      <w:r w:rsidRPr="003D6532">
        <w:rPr>
          <w:lang w:val="en-US"/>
        </w:rPr>
        <w:t>Janik</w:t>
      </w:r>
      <w:proofErr w:type="spellEnd"/>
      <w:r w:rsidRPr="003D6532">
        <w:rPr>
          <w:lang w:val="en-US"/>
        </w:rPr>
        <w:t>.</w:t>
      </w:r>
      <w:proofErr w:type="gramEnd"/>
      <w:r w:rsidRPr="003D6532">
        <w:rPr>
          <w:lang w:val="en-US"/>
        </w:rPr>
        <w:t xml:space="preserve"> 2010. “</w:t>
      </w:r>
      <w:proofErr w:type="spellStart"/>
      <w:r w:rsidRPr="003D6532">
        <w:rPr>
          <w:lang w:val="en-US"/>
        </w:rPr>
        <w:t>Abitur</w:t>
      </w:r>
      <w:proofErr w:type="spellEnd"/>
      <w:r w:rsidRPr="003D6532">
        <w:rPr>
          <w:lang w:val="en-US"/>
        </w:rPr>
        <w:t xml:space="preserve"> and What Next? </w:t>
      </w:r>
      <w:proofErr w:type="gramStart"/>
      <w:r w:rsidRPr="003D6532">
        <w:rPr>
          <w:lang w:val="en-US"/>
        </w:rPr>
        <w:t>Reasons for Gaining Double Qualifications in Germany.”</w:t>
      </w:r>
      <w:proofErr w:type="gramEnd"/>
      <w:r w:rsidRPr="003D6532">
        <w:rPr>
          <w:lang w:val="en-US"/>
        </w:rPr>
        <w:t xml:space="preserve"> </w:t>
      </w:r>
      <w:proofErr w:type="spellStart"/>
      <w:r w:rsidRPr="003D6532">
        <w:rPr>
          <w:i/>
          <w:iCs/>
          <w:lang w:val="en-US"/>
        </w:rPr>
        <w:t>Schmollers</w:t>
      </w:r>
      <w:proofErr w:type="spellEnd"/>
      <w:r w:rsidRPr="003D6532">
        <w:rPr>
          <w:i/>
          <w:iCs/>
          <w:lang w:val="en-US"/>
        </w:rPr>
        <w:t xml:space="preserve"> </w:t>
      </w:r>
      <w:proofErr w:type="spellStart"/>
      <w:r w:rsidRPr="003D6532">
        <w:rPr>
          <w:i/>
          <w:iCs/>
          <w:lang w:val="en-US"/>
        </w:rPr>
        <w:t>Jahrbuch</w:t>
      </w:r>
      <w:proofErr w:type="spellEnd"/>
      <w:r w:rsidRPr="003D6532">
        <w:rPr>
          <w:lang w:val="en-US"/>
        </w:rPr>
        <w:t xml:space="preserve"> 1–18.</w:t>
      </w:r>
    </w:p>
    <w:p w14:paraId="59A917A1"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Bernardi</w:t>
      </w:r>
      <w:proofErr w:type="spellEnd"/>
      <w:r w:rsidRPr="003D6532">
        <w:rPr>
          <w:lang w:val="en-US"/>
        </w:rPr>
        <w:t xml:space="preserve">, </w:t>
      </w:r>
      <w:proofErr w:type="spellStart"/>
      <w:r w:rsidRPr="003D6532">
        <w:rPr>
          <w:lang w:val="en-US"/>
        </w:rPr>
        <w:t>Fabrizio</w:t>
      </w:r>
      <w:proofErr w:type="spellEnd"/>
      <w:r w:rsidRPr="003D6532">
        <w:rPr>
          <w:lang w:val="en-US"/>
        </w:rPr>
        <w:t xml:space="preserve">. 2012. “Unequal Transitions: Selection Bias and the Compensatory Effect of Social Background in Educational Careers.” </w:t>
      </w:r>
      <w:r w:rsidRPr="003D6532">
        <w:rPr>
          <w:i/>
          <w:iCs/>
          <w:lang w:val="en-US"/>
        </w:rPr>
        <w:t>Research in Social Stratification and Mobility</w:t>
      </w:r>
      <w:r w:rsidRPr="003D6532">
        <w:rPr>
          <w:lang w:val="en-US"/>
        </w:rPr>
        <w:t xml:space="preserve"> 30(2):159–174.</w:t>
      </w:r>
    </w:p>
    <w:p w14:paraId="46FC569A"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Bernardi</w:t>
      </w:r>
      <w:proofErr w:type="spellEnd"/>
      <w:r w:rsidRPr="003D6532">
        <w:rPr>
          <w:lang w:val="en-US"/>
        </w:rPr>
        <w:t xml:space="preserve">, </w:t>
      </w:r>
      <w:proofErr w:type="spellStart"/>
      <w:r w:rsidRPr="003D6532">
        <w:rPr>
          <w:lang w:val="en-US"/>
        </w:rPr>
        <w:t>Fabrizio</w:t>
      </w:r>
      <w:proofErr w:type="spellEnd"/>
      <w:r w:rsidRPr="003D6532">
        <w:rPr>
          <w:lang w:val="en-US"/>
        </w:rPr>
        <w:t xml:space="preserve">. 2014. “Compensatory Advantage as a Mechanism of Educational Inequality A Regression Discontinuity Based on Month of Birth.” </w:t>
      </w:r>
      <w:r w:rsidRPr="003D6532">
        <w:rPr>
          <w:i/>
          <w:iCs/>
          <w:lang w:val="en-US"/>
        </w:rPr>
        <w:t>Sociology of Education</w:t>
      </w:r>
      <w:r w:rsidRPr="003D6532">
        <w:rPr>
          <w:lang w:val="en-US"/>
        </w:rPr>
        <w:t xml:space="preserve"> 87(2):74–88.</w:t>
      </w:r>
    </w:p>
    <w:p w14:paraId="599326FD"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Bernardi</w:t>
      </w:r>
      <w:proofErr w:type="spellEnd"/>
      <w:r w:rsidRPr="003D6532">
        <w:rPr>
          <w:lang w:val="en-US"/>
        </w:rPr>
        <w:t xml:space="preserve">, </w:t>
      </w:r>
      <w:proofErr w:type="spellStart"/>
      <w:r w:rsidRPr="003D6532">
        <w:rPr>
          <w:lang w:val="en-US"/>
        </w:rPr>
        <w:t>Fabrizio</w:t>
      </w:r>
      <w:proofErr w:type="spellEnd"/>
      <w:r w:rsidRPr="003D6532">
        <w:rPr>
          <w:lang w:val="en-US"/>
        </w:rPr>
        <w:t xml:space="preserve"> and </w:t>
      </w:r>
      <w:proofErr w:type="spellStart"/>
      <w:r w:rsidRPr="003D6532">
        <w:rPr>
          <w:lang w:val="en-US"/>
        </w:rPr>
        <w:t>Héctor</w:t>
      </w:r>
      <w:proofErr w:type="spellEnd"/>
      <w:r w:rsidRPr="003D6532">
        <w:rPr>
          <w:lang w:val="en-US"/>
        </w:rPr>
        <w:t xml:space="preserve"> </w:t>
      </w:r>
      <w:proofErr w:type="spellStart"/>
      <w:r w:rsidRPr="003D6532">
        <w:rPr>
          <w:lang w:val="en-US"/>
        </w:rPr>
        <w:t>Cebolla-Boado</w:t>
      </w:r>
      <w:proofErr w:type="spellEnd"/>
      <w:r w:rsidRPr="003D6532">
        <w:rPr>
          <w:lang w:val="en-US"/>
        </w:rPr>
        <w:t>.</w:t>
      </w:r>
      <w:proofErr w:type="gramEnd"/>
      <w:r w:rsidRPr="003D6532">
        <w:rPr>
          <w:lang w:val="en-US"/>
        </w:rPr>
        <w:t xml:space="preserve"> 2014. “Previous School Results and Social Background: Compensation and Imperfect Information in Educational Transitions.” </w:t>
      </w:r>
      <w:r w:rsidRPr="003D6532">
        <w:rPr>
          <w:i/>
          <w:iCs/>
          <w:lang w:val="en-US"/>
        </w:rPr>
        <w:t>European Sociological Review</w:t>
      </w:r>
      <w:r w:rsidRPr="003D6532">
        <w:rPr>
          <w:lang w:val="en-US"/>
        </w:rPr>
        <w:t xml:space="preserve"> 30(2):207–17.</w:t>
      </w:r>
    </w:p>
    <w:p w14:paraId="7D4B97F7"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lastRenderedPageBreak/>
        <w:t>Blossfeld</w:t>
      </w:r>
      <w:proofErr w:type="spellEnd"/>
      <w:r w:rsidRPr="003D6532">
        <w:rPr>
          <w:lang w:val="en-US"/>
        </w:rPr>
        <w:t xml:space="preserve">, Hans-Peter, Sandra Buchholz, Jan </w:t>
      </w:r>
      <w:proofErr w:type="spellStart"/>
      <w:r w:rsidRPr="003D6532">
        <w:rPr>
          <w:lang w:val="en-US"/>
        </w:rPr>
        <w:t>Skopek</w:t>
      </w:r>
      <w:proofErr w:type="spellEnd"/>
      <w:r w:rsidRPr="003D6532">
        <w:rPr>
          <w:lang w:val="en-US"/>
        </w:rPr>
        <w:t xml:space="preserve">, and </w:t>
      </w:r>
      <w:proofErr w:type="spellStart"/>
      <w:r w:rsidRPr="003D6532">
        <w:rPr>
          <w:lang w:val="en-US"/>
        </w:rPr>
        <w:t>Moris</w:t>
      </w:r>
      <w:proofErr w:type="spellEnd"/>
      <w:r w:rsidRPr="003D6532">
        <w:rPr>
          <w:lang w:val="en-US"/>
        </w:rPr>
        <w:t xml:space="preserve"> </w:t>
      </w:r>
      <w:proofErr w:type="spellStart"/>
      <w:r w:rsidRPr="003D6532">
        <w:rPr>
          <w:lang w:val="en-US"/>
        </w:rPr>
        <w:t>Triventi</w:t>
      </w:r>
      <w:proofErr w:type="spellEnd"/>
      <w:r w:rsidRPr="003D6532">
        <w:rPr>
          <w:lang w:val="en-US"/>
        </w:rPr>
        <w:t>, eds. 2016.</w:t>
      </w:r>
      <w:proofErr w:type="gramEnd"/>
      <w:r w:rsidRPr="003D6532">
        <w:rPr>
          <w:lang w:val="en-US"/>
        </w:rPr>
        <w:t xml:space="preserve"> “Models of Secondary Education and Social Inequality: An International Comparison.” in </w:t>
      </w:r>
      <w:r w:rsidRPr="003D6532">
        <w:rPr>
          <w:i/>
          <w:iCs/>
          <w:lang w:val="en-US"/>
        </w:rPr>
        <w:t>Models of Secondary Education and Social Inequality: An International Comparison</w:t>
      </w:r>
      <w:r w:rsidRPr="003D6532">
        <w:rPr>
          <w:lang w:val="en-US"/>
        </w:rPr>
        <w:t xml:space="preserve">, </w:t>
      </w:r>
      <w:proofErr w:type="spellStart"/>
      <w:r w:rsidRPr="003D6532">
        <w:rPr>
          <w:i/>
          <w:iCs/>
          <w:lang w:val="en-US"/>
        </w:rPr>
        <w:t>eduLIFE</w:t>
      </w:r>
      <w:proofErr w:type="spellEnd"/>
      <w:r w:rsidRPr="003D6532">
        <w:rPr>
          <w:i/>
          <w:iCs/>
          <w:lang w:val="en-US"/>
        </w:rPr>
        <w:t xml:space="preserve"> Lifelong Learning</w:t>
      </w:r>
      <w:r w:rsidRPr="003D6532">
        <w:rPr>
          <w:lang w:val="en-US"/>
        </w:rPr>
        <w:t xml:space="preserve">. </w:t>
      </w:r>
      <w:proofErr w:type="gramStart"/>
      <w:r w:rsidRPr="003D6532">
        <w:rPr>
          <w:lang w:val="en-US"/>
        </w:rPr>
        <w:t>Edward Elgar Publishing.</w:t>
      </w:r>
      <w:proofErr w:type="gramEnd"/>
    </w:p>
    <w:p w14:paraId="5811D9B0"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Bol</w:t>
      </w:r>
      <w:proofErr w:type="spellEnd"/>
      <w:r w:rsidRPr="003D6532">
        <w:rPr>
          <w:lang w:val="en-US"/>
        </w:rPr>
        <w:t xml:space="preserve">, </w:t>
      </w:r>
      <w:proofErr w:type="spellStart"/>
      <w:r w:rsidRPr="003D6532">
        <w:rPr>
          <w:lang w:val="en-US"/>
        </w:rPr>
        <w:t>Thijs</w:t>
      </w:r>
      <w:proofErr w:type="spellEnd"/>
      <w:r w:rsidRPr="003D6532">
        <w:rPr>
          <w:lang w:val="en-US"/>
        </w:rPr>
        <w:t xml:space="preserve">, Jacqueline </w:t>
      </w:r>
      <w:proofErr w:type="spellStart"/>
      <w:r w:rsidRPr="003D6532">
        <w:rPr>
          <w:lang w:val="en-US"/>
        </w:rPr>
        <w:t>Witschge</w:t>
      </w:r>
      <w:proofErr w:type="spellEnd"/>
      <w:r w:rsidRPr="003D6532">
        <w:rPr>
          <w:lang w:val="en-US"/>
        </w:rPr>
        <w:t xml:space="preserve">, Herman </w:t>
      </w:r>
      <w:proofErr w:type="spellStart"/>
      <w:r w:rsidRPr="003D6532">
        <w:rPr>
          <w:lang w:val="en-US"/>
        </w:rPr>
        <w:t>G.Van</w:t>
      </w:r>
      <w:proofErr w:type="spellEnd"/>
      <w:r w:rsidRPr="003D6532">
        <w:rPr>
          <w:lang w:val="en-US"/>
        </w:rPr>
        <w:t xml:space="preserve"> de </w:t>
      </w:r>
      <w:proofErr w:type="spellStart"/>
      <w:r w:rsidRPr="003D6532">
        <w:rPr>
          <w:lang w:val="en-US"/>
        </w:rPr>
        <w:t>Werfhorst</w:t>
      </w:r>
      <w:proofErr w:type="spellEnd"/>
      <w:r w:rsidRPr="003D6532">
        <w:rPr>
          <w:lang w:val="en-US"/>
        </w:rPr>
        <w:t xml:space="preserve">, and </w:t>
      </w:r>
      <w:proofErr w:type="spellStart"/>
      <w:r w:rsidRPr="003D6532">
        <w:rPr>
          <w:lang w:val="en-US"/>
        </w:rPr>
        <w:t>Jaap</w:t>
      </w:r>
      <w:proofErr w:type="spellEnd"/>
      <w:r w:rsidRPr="003D6532">
        <w:rPr>
          <w:lang w:val="en-US"/>
        </w:rPr>
        <w:t xml:space="preserve"> </w:t>
      </w:r>
      <w:proofErr w:type="spellStart"/>
      <w:r w:rsidRPr="003D6532">
        <w:rPr>
          <w:lang w:val="en-US"/>
        </w:rPr>
        <w:t>Dronkers</w:t>
      </w:r>
      <w:proofErr w:type="spellEnd"/>
      <w:r w:rsidRPr="003D6532">
        <w:rPr>
          <w:lang w:val="en-US"/>
        </w:rPr>
        <w:t>.</w:t>
      </w:r>
      <w:proofErr w:type="gramEnd"/>
      <w:r w:rsidRPr="003D6532">
        <w:rPr>
          <w:lang w:val="en-US"/>
        </w:rPr>
        <w:t xml:space="preserve"> 2014. “Curricular Tracking and Central Examinations: Counterbalancing the Impact of Social Background on Student Achievement in 36 Countries.” </w:t>
      </w:r>
      <w:r w:rsidRPr="003D6532">
        <w:rPr>
          <w:i/>
          <w:iCs/>
          <w:lang w:val="en-US"/>
        </w:rPr>
        <w:t>Social Forces</w:t>
      </w:r>
      <w:r w:rsidRPr="003D6532">
        <w:rPr>
          <w:lang w:val="en-US"/>
        </w:rPr>
        <w:t xml:space="preserve"> 92(4):1545–72.</w:t>
      </w:r>
    </w:p>
    <w:p w14:paraId="3FD911A0" w14:textId="3B74F28C" w:rsidR="0042477D" w:rsidRPr="003D6532" w:rsidRDefault="0042477D" w:rsidP="00907AB2">
      <w:pPr>
        <w:spacing w:line="360" w:lineRule="auto"/>
        <w:ind w:left="708" w:hangingChars="295" w:hanging="708"/>
        <w:jc w:val="left"/>
        <w:rPr>
          <w:lang w:val="en-US"/>
        </w:rPr>
      </w:pPr>
      <w:proofErr w:type="spellStart"/>
      <w:r w:rsidRPr="003D6532">
        <w:rPr>
          <w:lang w:val="en-US"/>
        </w:rPr>
        <w:t>Boudon</w:t>
      </w:r>
      <w:proofErr w:type="spellEnd"/>
      <w:r w:rsidRPr="003D6532">
        <w:rPr>
          <w:lang w:val="en-US"/>
        </w:rPr>
        <w:t xml:space="preserve">, Raymond. 1974. </w:t>
      </w:r>
      <w:r w:rsidRPr="003D6532">
        <w:rPr>
          <w:i/>
          <w:iCs/>
          <w:lang w:val="en-US"/>
        </w:rPr>
        <w:t>Education, Opportunity, and Social Inequality: Changing Prospects in Western Society.</w:t>
      </w:r>
      <w:r w:rsidR="00B203E6" w:rsidRPr="003D6532">
        <w:rPr>
          <w:i/>
          <w:iCs/>
          <w:lang w:val="en-US"/>
        </w:rPr>
        <w:t xml:space="preserve"> </w:t>
      </w:r>
      <w:proofErr w:type="gramStart"/>
      <w:r w:rsidRPr="003D6532">
        <w:rPr>
          <w:lang w:val="en-US"/>
        </w:rPr>
        <w:t>John Wiley &amp; Sons Canada, Limited.</w:t>
      </w:r>
      <w:proofErr w:type="gramEnd"/>
    </w:p>
    <w:p w14:paraId="0585F50E"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 xml:space="preserve">Breen, Richard and John H. </w:t>
      </w:r>
      <w:proofErr w:type="spellStart"/>
      <w:r w:rsidRPr="003D6532">
        <w:rPr>
          <w:lang w:val="en-US"/>
        </w:rPr>
        <w:t>Goldthorpe</w:t>
      </w:r>
      <w:proofErr w:type="spellEnd"/>
      <w:r w:rsidRPr="003D6532">
        <w:rPr>
          <w:lang w:val="en-US"/>
        </w:rPr>
        <w:t>.</w:t>
      </w:r>
      <w:proofErr w:type="gramEnd"/>
      <w:r w:rsidRPr="003D6532">
        <w:rPr>
          <w:lang w:val="en-US"/>
        </w:rPr>
        <w:t xml:space="preserve"> 1997. “Explaining Educational Differentials </w:t>
      </w:r>
      <w:proofErr w:type="gramStart"/>
      <w:r w:rsidRPr="003D6532">
        <w:rPr>
          <w:lang w:val="en-US"/>
        </w:rPr>
        <w:t>Towards</w:t>
      </w:r>
      <w:proofErr w:type="gramEnd"/>
      <w:r w:rsidRPr="003D6532">
        <w:rPr>
          <w:lang w:val="en-US"/>
        </w:rPr>
        <w:t xml:space="preserve"> a Formal Rational Action Theory.” </w:t>
      </w:r>
      <w:r w:rsidRPr="003D6532">
        <w:rPr>
          <w:i/>
          <w:iCs/>
          <w:lang w:val="en-US"/>
        </w:rPr>
        <w:t>Rationality and Society</w:t>
      </w:r>
      <w:r w:rsidRPr="003D6532">
        <w:rPr>
          <w:lang w:val="en-US"/>
        </w:rPr>
        <w:t xml:space="preserve"> 9(3):275–305.</w:t>
      </w:r>
    </w:p>
    <w:p w14:paraId="7F16C9F6"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 xml:space="preserve">Breen, Richard and Jan O. </w:t>
      </w:r>
      <w:proofErr w:type="spellStart"/>
      <w:r w:rsidRPr="003D6532">
        <w:rPr>
          <w:lang w:val="en-US"/>
        </w:rPr>
        <w:t>Jonsson</w:t>
      </w:r>
      <w:proofErr w:type="spellEnd"/>
      <w:r w:rsidRPr="003D6532">
        <w:rPr>
          <w:lang w:val="en-US"/>
        </w:rPr>
        <w:t>.</w:t>
      </w:r>
      <w:proofErr w:type="gramEnd"/>
      <w:r w:rsidRPr="003D6532">
        <w:rPr>
          <w:lang w:val="en-US"/>
        </w:rPr>
        <w:t xml:space="preserve"> 2005. “Inequality of Opportunity in Comparative Perspective: Recent Research on Educational Attainment and Social Mobility.” </w:t>
      </w:r>
      <w:r w:rsidRPr="003D6532">
        <w:rPr>
          <w:i/>
          <w:iCs/>
          <w:lang w:val="en-US"/>
        </w:rPr>
        <w:t>Annual Review of Sociology</w:t>
      </w:r>
      <w:r w:rsidRPr="003D6532">
        <w:rPr>
          <w:lang w:val="en-US"/>
        </w:rPr>
        <w:t xml:space="preserve"> 31(1):223–243.</w:t>
      </w:r>
    </w:p>
    <w:p w14:paraId="284EE532"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 xml:space="preserve">Brown, Alan, Trudy </w:t>
      </w:r>
      <w:proofErr w:type="spellStart"/>
      <w:r w:rsidRPr="003D6532">
        <w:rPr>
          <w:lang w:val="en-US"/>
        </w:rPr>
        <w:t>Moerkamp</w:t>
      </w:r>
      <w:proofErr w:type="spellEnd"/>
      <w:r w:rsidRPr="003D6532">
        <w:rPr>
          <w:lang w:val="en-US"/>
        </w:rPr>
        <w:t xml:space="preserve">, and Eva </w:t>
      </w:r>
      <w:proofErr w:type="spellStart"/>
      <w:r w:rsidRPr="003D6532">
        <w:rPr>
          <w:lang w:val="en-US"/>
        </w:rPr>
        <w:t>Voncken</w:t>
      </w:r>
      <w:proofErr w:type="spellEnd"/>
      <w:r w:rsidRPr="003D6532">
        <w:rPr>
          <w:lang w:val="en-US"/>
        </w:rPr>
        <w:t>.</w:t>
      </w:r>
      <w:proofErr w:type="gramEnd"/>
      <w:r w:rsidRPr="003D6532">
        <w:rPr>
          <w:lang w:val="en-US"/>
        </w:rPr>
        <w:t xml:space="preserve"> 1999. “Facilitating Progression to Higher Education from Vocational Paths.” </w:t>
      </w:r>
      <w:r w:rsidRPr="003D6532">
        <w:rPr>
          <w:i/>
          <w:iCs/>
          <w:lang w:val="en-US"/>
        </w:rPr>
        <w:t>European Journal of Education</w:t>
      </w:r>
      <w:r w:rsidRPr="003D6532">
        <w:rPr>
          <w:lang w:val="en-US"/>
        </w:rPr>
        <w:t xml:space="preserve"> 34(2):219–35.</w:t>
      </w:r>
    </w:p>
    <w:p w14:paraId="75BB682E"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Brunello</w:t>
      </w:r>
      <w:proofErr w:type="spellEnd"/>
      <w:r w:rsidRPr="003D6532">
        <w:rPr>
          <w:lang w:val="en-US"/>
        </w:rPr>
        <w:t xml:space="preserve">, Giorgio and Daniele </w:t>
      </w:r>
      <w:proofErr w:type="spellStart"/>
      <w:r w:rsidRPr="003D6532">
        <w:rPr>
          <w:lang w:val="en-US"/>
        </w:rPr>
        <w:t>Checchi</w:t>
      </w:r>
      <w:proofErr w:type="spellEnd"/>
      <w:r w:rsidRPr="003D6532">
        <w:rPr>
          <w:lang w:val="en-US"/>
        </w:rPr>
        <w:t>.</w:t>
      </w:r>
      <w:proofErr w:type="gramEnd"/>
      <w:r w:rsidRPr="003D6532">
        <w:rPr>
          <w:lang w:val="en-US"/>
        </w:rPr>
        <w:t xml:space="preserve"> 2007. “Does School Tracking Affect Equality of Opportunity? </w:t>
      </w:r>
      <w:proofErr w:type="gramStart"/>
      <w:r w:rsidRPr="003D6532">
        <w:rPr>
          <w:lang w:val="en-US"/>
        </w:rPr>
        <w:t>New International Evidence.”</w:t>
      </w:r>
      <w:proofErr w:type="gramEnd"/>
      <w:r w:rsidRPr="003D6532">
        <w:rPr>
          <w:lang w:val="en-US"/>
        </w:rPr>
        <w:t xml:space="preserve"> </w:t>
      </w:r>
      <w:r w:rsidRPr="003D6532">
        <w:rPr>
          <w:i/>
          <w:iCs/>
          <w:lang w:val="en-US"/>
        </w:rPr>
        <w:t>Economic Policy</w:t>
      </w:r>
      <w:r w:rsidRPr="003D6532">
        <w:rPr>
          <w:lang w:val="en-US"/>
        </w:rPr>
        <w:t xml:space="preserve"> 22(52):782–861.</w:t>
      </w:r>
    </w:p>
    <w:p w14:paraId="3198B5AE"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Büchel</w:t>
      </w:r>
      <w:proofErr w:type="spellEnd"/>
      <w:r w:rsidRPr="003D6532">
        <w:rPr>
          <w:lang w:val="en-US"/>
        </w:rPr>
        <w:t xml:space="preserve">, F. and C. </w:t>
      </w:r>
      <w:proofErr w:type="spellStart"/>
      <w:r w:rsidRPr="003D6532">
        <w:rPr>
          <w:lang w:val="en-US"/>
        </w:rPr>
        <w:t>Helberger</w:t>
      </w:r>
      <w:proofErr w:type="spellEnd"/>
      <w:r w:rsidRPr="003D6532">
        <w:rPr>
          <w:lang w:val="en-US"/>
        </w:rPr>
        <w:t>.</w:t>
      </w:r>
      <w:proofErr w:type="gramEnd"/>
      <w:r w:rsidRPr="003D6532">
        <w:rPr>
          <w:lang w:val="en-US"/>
        </w:rPr>
        <w:t xml:space="preserve"> 1995. “</w:t>
      </w:r>
      <w:proofErr w:type="spellStart"/>
      <w:r w:rsidRPr="003D6532">
        <w:rPr>
          <w:lang w:val="en-US"/>
        </w:rPr>
        <w:t>Bildungsnachfrage</w:t>
      </w:r>
      <w:proofErr w:type="spellEnd"/>
      <w:r w:rsidRPr="003D6532">
        <w:rPr>
          <w:lang w:val="en-US"/>
        </w:rPr>
        <w:t xml:space="preserve"> </w:t>
      </w:r>
      <w:proofErr w:type="spellStart"/>
      <w:proofErr w:type="gramStart"/>
      <w:r w:rsidRPr="003D6532">
        <w:rPr>
          <w:lang w:val="en-US"/>
        </w:rPr>
        <w:t>Als</w:t>
      </w:r>
      <w:proofErr w:type="spellEnd"/>
      <w:proofErr w:type="gramEnd"/>
      <w:r w:rsidRPr="003D6532">
        <w:rPr>
          <w:lang w:val="en-US"/>
        </w:rPr>
        <w:t xml:space="preserve"> </w:t>
      </w:r>
      <w:proofErr w:type="spellStart"/>
      <w:r w:rsidRPr="003D6532">
        <w:rPr>
          <w:lang w:val="en-US"/>
        </w:rPr>
        <w:t>Versicherungsstrategie</w:t>
      </w:r>
      <w:proofErr w:type="spellEnd"/>
      <w:r w:rsidRPr="003D6532">
        <w:rPr>
          <w:lang w:val="en-US"/>
        </w:rPr>
        <w:t xml:space="preserve"> – Der </w:t>
      </w:r>
      <w:proofErr w:type="spellStart"/>
      <w:r w:rsidRPr="003D6532">
        <w:rPr>
          <w:lang w:val="en-US"/>
        </w:rPr>
        <w:t>Effekt</w:t>
      </w:r>
      <w:proofErr w:type="spellEnd"/>
      <w:r w:rsidRPr="003D6532">
        <w:rPr>
          <w:lang w:val="en-US"/>
        </w:rPr>
        <w:t xml:space="preserve"> </w:t>
      </w:r>
      <w:proofErr w:type="spellStart"/>
      <w:r w:rsidRPr="003D6532">
        <w:rPr>
          <w:lang w:val="en-US"/>
        </w:rPr>
        <w:t>Eines</w:t>
      </w:r>
      <w:proofErr w:type="spellEnd"/>
      <w:r w:rsidRPr="003D6532">
        <w:rPr>
          <w:lang w:val="en-US"/>
        </w:rPr>
        <w:t xml:space="preserve"> </w:t>
      </w:r>
      <w:proofErr w:type="spellStart"/>
      <w:r w:rsidRPr="003D6532">
        <w:rPr>
          <w:lang w:val="en-US"/>
        </w:rPr>
        <w:t>Zusätzlich</w:t>
      </w:r>
      <w:proofErr w:type="spellEnd"/>
      <w:r w:rsidRPr="003D6532">
        <w:rPr>
          <w:lang w:val="en-US"/>
        </w:rPr>
        <w:t xml:space="preserve"> </w:t>
      </w:r>
      <w:proofErr w:type="spellStart"/>
      <w:r w:rsidRPr="003D6532">
        <w:rPr>
          <w:lang w:val="en-US"/>
        </w:rPr>
        <w:t>Erworbenen</w:t>
      </w:r>
      <w:proofErr w:type="spellEnd"/>
      <w:r w:rsidRPr="003D6532">
        <w:rPr>
          <w:lang w:val="en-US"/>
        </w:rPr>
        <w:t xml:space="preserve"> </w:t>
      </w:r>
      <w:proofErr w:type="spellStart"/>
      <w:r w:rsidRPr="003D6532">
        <w:rPr>
          <w:lang w:val="en-US"/>
        </w:rPr>
        <w:t>Lehrabschlusses</w:t>
      </w:r>
      <w:proofErr w:type="spellEnd"/>
      <w:r w:rsidRPr="003D6532">
        <w:rPr>
          <w:lang w:val="en-US"/>
        </w:rPr>
        <w:t xml:space="preserve"> Auf Die </w:t>
      </w:r>
      <w:proofErr w:type="spellStart"/>
      <w:r w:rsidRPr="003D6532">
        <w:rPr>
          <w:lang w:val="en-US"/>
        </w:rPr>
        <w:t>Beruflichen</w:t>
      </w:r>
      <w:proofErr w:type="spellEnd"/>
      <w:r w:rsidRPr="003D6532">
        <w:rPr>
          <w:lang w:val="en-US"/>
        </w:rPr>
        <w:t xml:space="preserve"> </w:t>
      </w:r>
      <w:proofErr w:type="spellStart"/>
      <w:r w:rsidRPr="003D6532">
        <w:rPr>
          <w:lang w:val="en-US"/>
        </w:rPr>
        <w:t>Startchancen</w:t>
      </w:r>
      <w:proofErr w:type="spellEnd"/>
      <w:r w:rsidRPr="003D6532">
        <w:rPr>
          <w:lang w:val="en-US"/>
        </w:rPr>
        <w:t xml:space="preserve"> von </w:t>
      </w:r>
      <w:proofErr w:type="spellStart"/>
      <w:r w:rsidRPr="003D6532">
        <w:rPr>
          <w:lang w:val="en-US"/>
        </w:rPr>
        <w:t>Hochschulabsolventen</w:t>
      </w:r>
      <w:proofErr w:type="spellEnd"/>
      <w:r w:rsidRPr="003D6532">
        <w:rPr>
          <w:lang w:val="en-US"/>
        </w:rPr>
        <w:t xml:space="preserve">.” </w:t>
      </w:r>
      <w:proofErr w:type="spellStart"/>
      <w:r w:rsidRPr="003D6532">
        <w:rPr>
          <w:i/>
          <w:iCs/>
          <w:lang w:val="en-US"/>
        </w:rPr>
        <w:t>Mitteilungen</w:t>
      </w:r>
      <w:proofErr w:type="spellEnd"/>
      <w:r w:rsidRPr="003D6532">
        <w:rPr>
          <w:i/>
          <w:iCs/>
          <w:lang w:val="en-US"/>
        </w:rPr>
        <w:t xml:space="preserve"> </w:t>
      </w:r>
      <w:proofErr w:type="spellStart"/>
      <w:r w:rsidRPr="003D6532">
        <w:rPr>
          <w:i/>
          <w:iCs/>
          <w:lang w:val="en-US"/>
        </w:rPr>
        <w:t>Aus</w:t>
      </w:r>
      <w:proofErr w:type="spellEnd"/>
      <w:r w:rsidRPr="003D6532">
        <w:rPr>
          <w:i/>
          <w:iCs/>
          <w:lang w:val="en-US"/>
        </w:rPr>
        <w:t xml:space="preserve"> Der </w:t>
      </w:r>
      <w:proofErr w:type="spellStart"/>
      <w:r w:rsidRPr="003D6532">
        <w:rPr>
          <w:i/>
          <w:iCs/>
          <w:lang w:val="en-US"/>
        </w:rPr>
        <w:t>Arbeitsmarkt</w:t>
      </w:r>
      <w:proofErr w:type="spellEnd"/>
      <w:r w:rsidRPr="003D6532">
        <w:rPr>
          <w:i/>
          <w:iCs/>
          <w:lang w:val="en-US"/>
        </w:rPr>
        <w:t xml:space="preserve">- Und </w:t>
      </w:r>
      <w:proofErr w:type="spellStart"/>
      <w:r w:rsidRPr="003D6532">
        <w:rPr>
          <w:i/>
          <w:iCs/>
          <w:lang w:val="en-US"/>
        </w:rPr>
        <w:t>Berufsforschung</w:t>
      </w:r>
      <w:proofErr w:type="spellEnd"/>
      <w:r w:rsidRPr="003D6532">
        <w:rPr>
          <w:lang w:val="en-US"/>
        </w:rPr>
        <w:t xml:space="preserve"> 28(1):32–42.</w:t>
      </w:r>
    </w:p>
    <w:p w14:paraId="4A7EAF8C"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Bühler</w:t>
      </w:r>
      <w:proofErr w:type="spellEnd"/>
      <w:r w:rsidRPr="003D6532">
        <w:rPr>
          <w:lang w:val="en-US"/>
        </w:rPr>
        <w:t xml:space="preserve">, C. and D. </w:t>
      </w:r>
      <w:proofErr w:type="spellStart"/>
      <w:r w:rsidRPr="003D6532">
        <w:rPr>
          <w:lang w:val="en-US"/>
        </w:rPr>
        <w:t>Konietzka</w:t>
      </w:r>
      <w:proofErr w:type="spellEnd"/>
      <w:r w:rsidRPr="003D6532">
        <w:rPr>
          <w:lang w:val="en-US"/>
        </w:rPr>
        <w:t>.</w:t>
      </w:r>
      <w:proofErr w:type="gramEnd"/>
      <w:r w:rsidRPr="003D6532">
        <w:rPr>
          <w:lang w:val="en-US"/>
        </w:rPr>
        <w:t xml:space="preserve"> 2011. “Institutional Change and the Transition from School to Work in Russia.” Pp. 296–319 in </w:t>
      </w:r>
      <w:proofErr w:type="gramStart"/>
      <w:r w:rsidRPr="003D6532">
        <w:rPr>
          <w:i/>
          <w:iCs/>
          <w:lang w:val="en-US"/>
        </w:rPr>
        <w:t>Making</w:t>
      </w:r>
      <w:proofErr w:type="gramEnd"/>
      <w:r w:rsidRPr="003D6532">
        <w:rPr>
          <w:i/>
          <w:iCs/>
          <w:lang w:val="en-US"/>
        </w:rPr>
        <w:t xml:space="preserve"> the transition: education and labor market entry in Central and Eastern Europe</w:t>
      </w:r>
      <w:r w:rsidRPr="003D6532">
        <w:rPr>
          <w:lang w:val="en-US"/>
        </w:rPr>
        <w:t xml:space="preserve">, edited by I. </w:t>
      </w:r>
      <w:proofErr w:type="spellStart"/>
      <w:r w:rsidRPr="003D6532">
        <w:rPr>
          <w:lang w:val="en-US"/>
        </w:rPr>
        <w:t>Kogan</w:t>
      </w:r>
      <w:proofErr w:type="spellEnd"/>
      <w:r w:rsidRPr="003D6532">
        <w:rPr>
          <w:lang w:val="en-US"/>
        </w:rPr>
        <w:t xml:space="preserve">, C. </w:t>
      </w:r>
      <w:proofErr w:type="spellStart"/>
      <w:r w:rsidRPr="003D6532">
        <w:rPr>
          <w:lang w:val="en-US"/>
        </w:rPr>
        <w:t>Noelke</w:t>
      </w:r>
      <w:proofErr w:type="spellEnd"/>
      <w:r w:rsidRPr="003D6532">
        <w:rPr>
          <w:lang w:val="en-US"/>
        </w:rPr>
        <w:t>, and M. Gebel. Stanford: Stanford University Press.</w:t>
      </w:r>
    </w:p>
    <w:p w14:paraId="792177CE"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Cheidvasser</w:t>
      </w:r>
      <w:proofErr w:type="spellEnd"/>
      <w:r w:rsidRPr="003D6532">
        <w:rPr>
          <w:lang w:val="en-US"/>
        </w:rPr>
        <w:t xml:space="preserve">, Sofia and Hugo </w:t>
      </w:r>
      <w:proofErr w:type="spellStart"/>
      <w:r w:rsidRPr="003D6532">
        <w:rPr>
          <w:lang w:val="en-US"/>
        </w:rPr>
        <w:t>Benítez</w:t>
      </w:r>
      <w:proofErr w:type="spellEnd"/>
      <w:r w:rsidRPr="003D6532">
        <w:rPr>
          <w:lang w:val="en-US"/>
        </w:rPr>
        <w:t>-Silva.</w:t>
      </w:r>
      <w:proofErr w:type="gramEnd"/>
      <w:r w:rsidRPr="003D6532">
        <w:rPr>
          <w:lang w:val="en-US"/>
        </w:rPr>
        <w:t xml:space="preserve"> 2007. “The Educated Russian’s Curse: Returns to Education in the Russian Federation during the 1990s.” </w:t>
      </w:r>
      <w:proofErr w:type="spellStart"/>
      <w:r w:rsidRPr="003D6532">
        <w:rPr>
          <w:i/>
          <w:iCs/>
          <w:lang w:val="en-US"/>
        </w:rPr>
        <w:t>Labour</w:t>
      </w:r>
      <w:proofErr w:type="spellEnd"/>
      <w:r w:rsidRPr="003D6532">
        <w:rPr>
          <w:lang w:val="en-US"/>
        </w:rPr>
        <w:t xml:space="preserve"> 21(1):1–41.</w:t>
      </w:r>
    </w:p>
    <w:p w14:paraId="13FE13E6" w14:textId="77777777" w:rsidR="0042477D" w:rsidRPr="003D6532" w:rsidRDefault="0042477D" w:rsidP="00907AB2">
      <w:pPr>
        <w:spacing w:line="360" w:lineRule="auto"/>
        <w:ind w:left="708" w:hangingChars="295" w:hanging="708"/>
        <w:jc w:val="left"/>
        <w:rPr>
          <w:lang w:val="en-US"/>
        </w:rPr>
      </w:pPr>
      <w:r w:rsidRPr="003D6532">
        <w:rPr>
          <w:lang w:val="en-US"/>
        </w:rPr>
        <w:t xml:space="preserve">Dougherty, Kevin J. 1992. </w:t>
      </w:r>
      <w:proofErr w:type="gramStart"/>
      <w:r w:rsidRPr="003D6532">
        <w:rPr>
          <w:lang w:val="en-US"/>
        </w:rPr>
        <w:t>“Community Colleges and Baccalaureate Attainment.”</w:t>
      </w:r>
      <w:proofErr w:type="gramEnd"/>
      <w:r w:rsidRPr="003D6532">
        <w:rPr>
          <w:lang w:val="en-US"/>
        </w:rPr>
        <w:t xml:space="preserve"> </w:t>
      </w:r>
      <w:r w:rsidRPr="003D6532">
        <w:rPr>
          <w:i/>
          <w:iCs/>
          <w:lang w:val="en-US"/>
        </w:rPr>
        <w:t>The Journal of Higher Education</w:t>
      </w:r>
      <w:r w:rsidRPr="003D6532">
        <w:rPr>
          <w:lang w:val="en-US"/>
        </w:rPr>
        <w:t xml:space="preserve"> 63(2):188–214.</w:t>
      </w:r>
    </w:p>
    <w:p w14:paraId="154E0DFD"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 xml:space="preserve">Dougherty, Kevin J. and Gregory J. </w:t>
      </w:r>
      <w:proofErr w:type="spellStart"/>
      <w:r w:rsidRPr="003D6532">
        <w:rPr>
          <w:lang w:val="en-US"/>
        </w:rPr>
        <w:t>Kienzl</w:t>
      </w:r>
      <w:proofErr w:type="spellEnd"/>
      <w:r w:rsidRPr="003D6532">
        <w:rPr>
          <w:lang w:val="en-US"/>
        </w:rPr>
        <w:t>.</w:t>
      </w:r>
      <w:proofErr w:type="gramEnd"/>
      <w:r w:rsidRPr="003D6532">
        <w:rPr>
          <w:lang w:val="en-US"/>
        </w:rPr>
        <w:t xml:space="preserve"> 2006. “It’s </w:t>
      </w:r>
      <w:proofErr w:type="gramStart"/>
      <w:r w:rsidRPr="003D6532">
        <w:rPr>
          <w:lang w:val="en-US"/>
        </w:rPr>
        <w:t>Not</w:t>
      </w:r>
      <w:proofErr w:type="gramEnd"/>
      <w:r w:rsidRPr="003D6532">
        <w:rPr>
          <w:lang w:val="en-US"/>
        </w:rPr>
        <w:t xml:space="preserve"> Enough to Get Through the Open Door: Inequalities by Social Background in Transfer from Community College to Four-Year Colleges.” </w:t>
      </w:r>
      <w:r w:rsidRPr="003D6532">
        <w:rPr>
          <w:i/>
          <w:iCs/>
          <w:lang w:val="en-US"/>
        </w:rPr>
        <w:t>Teachers College Record</w:t>
      </w:r>
      <w:r w:rsidRPr="003D6532">
        <w:rPr>
          <w:lang w:val="en-US"/>
        </w:rPr>
        <w:t xml:space="preserve"> 108:289–312.</w:t>
      </w:r>
    </w:p>
    <w:p w14:paraId="6E7B558F" w14:textId="2C5B3875" w:rsidR="0042477D" w:rsidRPr="003D6532" w:rsidRDefault="0042477D" w:rsidP="00907AB2">
      <w:pPr>
        <w:spacing w:line="360" w:lineRule="auto"/>
        <w:ind w:left="708" w:hangingChars="295" w:hanging="708"/>
        <w:jc w:val="left"/>
        <w:rPr>
          <w:lang w:val="en-US"/>
        </w:rPr>
      </w:pPr>
      <w:proofErr w:type="gramStart"/>
      <w:r w:rsidRPr="003D6532">
        <w:rPr>
          <w:lang w:val="en-US"/>
        </w:rPr>
        <w:lastRenderedPageBreak/>
        <w:t xml:space="preserve">Field, Simon, </w:t>
      </w:r>
      <w:proofErr w:type="spellStart"/>
      <w:r w:rsidRPr="003D6532">
        <w:rPr>
          <w:lang w:val="en-US"/>
        </w:rPr>
        <w:t>Małgorzata</w:t>
      </w:r>
      <w:proofErr w:type="spellEnd"/>
      <w:r w:rsidRPr="003D6532">
        <w:rPr>
          <w:lang w:val="en-US"/>
        </w:rPr>
        <w:t xml:space="preserve"> </w:t>
      </w:r>
      <w:proofErr w:type="spellStart"/>
      <w:r w:rsidRPr="003D6532">
        <w:rPr>
          <w:lang w:val="en-US"/>
        </w:rPr>
        <w:t>Kuczera</w:t>
      </w:r>
      <w:proofErr w:type="spellEnd"/>
      <w:r w:rsidRPr="003D6532">
        <w:rPr>
          <w:lang w:val="en-US"/>
        </w:rPr>
        <w:t>, and Beatriz Pont.</w:t>
      </w:r>
      <w:proofErr w:type="gramEnd"/>
      <w:r w:rsidRPr="003D6532">
        <w:rPr>
          <w:lang w:val="en-US"/>
        </w:rPr>
        <w:t xml:space="preserve"> 2007. </w:t>
      </w:r>
      <w:r w:rsidRPr="003D6532">
        <w:rPr>
          <w:i/>
          <w:iCs/>
          <w:lang w:val="en-US"/>
        </w:rPr>
        <w:t>No More Failures: Ten Steps to Equity in Education</w:t>
      </w:r>
      <w:r w:rsidR="00B203E6" w:rsidRPr="003D6532">
        <w:rPr>
          <w:lang w:val="en-US"/>
        </w:rPr>
        <w:t>. Paris: OECD.</w:t>
      </w:r>
    </w:p>
    <w:p w14:paraId="0C8E4710"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Gamoran</w:t>
      </w:r>
      <w:proofErr w:type="spellEnd"/>
      <w:r w:rsidRPr="003D6532">
        <w:rPr>
          <w:lang w:val="en-US"/>
        </w:rPr>
        <w:t xml:space="preserve">, Adam. 1992. “The Variable Effects of High School Tracking.” </w:t>
      </w:r>
      <w:r w:rsidRPr="003D6532">
        <w:rPr>
          <w:i/>
          <w:iCs/>
          <w:lang w:val="en-US"/>
        </w:rPr>
        <w:t>American Sociological Review</w:t>
      </w:r>
      <w:r w:rsidRPr="003D6532">
        <w:rPr>
          <w:lang w:val="en-US"/>
        </w:rPr>
        <w:t xml:space="preserve"> 57(6):812–28.</w:t>
      </w:r>
    </w:p>
    <w:p w14:paraId="4948EAE2"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Gamoran</w:t>
      </w:r>
      <w:proofErr w:type="spellEnd"/>
      <w:r w:rsidRPr="003D6532">
        <w:rPr>
          <w:lang w:val="en-US"/>
        </w:rPr>
        <w:t>, Adam and Robert D. Mare.</w:t>
      </w:r>
      <w:proofErr w:type="gramEnd"/>
      <w:r w:rsidRPr="003D6532">
        <w:rPr>
          <w:lang w:val="en-US"/>
        </w:rPr>
        <w:t xml:space="preserve"> 1989. “Secondary School Tracking and Educational Inequality: Compensation, Reinforcement, or Neutrality?” </w:t>
      </w:r>
      <w:r w:rsidRPr="003D6532">
        <w:rPr>
          <w:i/>
          <w:iCs/>
          <w:lang w:val="en-US"/>
        </w:rPr>
        <w:t>American Journal of Sociology</w:t>
      </w:r>
      <w:r w:rsidRPr="003D6532">
        <w:rPr>
          <w:lang w:val="en-US"/>
        </w:rPr>
        <w:t xml:space="preserve"> 94(5):1146–83.</w:t>
      </w:r>
    </w:p>
    <w:p w14:paraId="0D67B12D" w14:textId="77777777" w:rsidR="0042477D" w:rsidRPr="003D6532" w:rsidRDefault="0042477D" w:rsidP="00907AB2">
      <w:pPr>
        <w:spacing w:line="360" w:lineRule="auto"/>
        <w:ind w:left="708" w:hangingChars="295" w:hanging="708"/>
        <w:jc w:val="left"/>
        <w:rPr>
          <w:lang w:val="en-US"/>
        </w:rPr>
      </w:pPr>
      <w:r w:rsidRPr="003D6532">
        <w:rPr>
          <w:lang w:val="en-US"/>
        </w:rPr>
        <w:t xml:space="preserve">Gavin, </w:t>
      </w:r>
      <w:proofErr w:type="spellStart"/>
      <w:r w:rsidRPr="003D6532">
        <w:rPr>
          <w:lang w:val="en-US"/>
        </w:rPr>
        <w:t>Moodie</w:t>
      </w:r>
      <w:proofErr w:type="spellEnd"/>
      <w:r w:rsidRPr="003D6532">
        <w:rPr>
          <w:lang w:val="en-US"/>
        </w:rPr>
        <w:t xml:space="preserve">. 2008. </w:t>
      </w:r>
      <w:proofErr w:type="gramStart"/>
      <w:r w:rsidRPr="003D6532">
        <w:rPr>
          <w:i/>
          <w:iCs/>
          <w:lang w:val="en-US"/>
        </w:rPr>
        <w:t>From</w:t>
      </w:r>
      <w:proofErr w:type="gramEnd"/>
      <w:r w:rsidRPr="003D6532">
        <w:rPr>
          <w:i/>
          <w:iCs/>
          <w:lang w:val="en-US"/>
        </w:rPr>
        <w:t xml:space="preserve"> Vocational To Higher Education: An International Perspective</w:t>
      </w:r>
      <w:r w:rsidRPr="003D6532">
        <w:rPr>
          <w:lang w:val="en-US"/>
        </w:rPr>
        <w:t xml:space="preserve">. </w:t>
      </w:r>
      <w:proofErr w:type="gramStart"/>
      <w:r w:rsidRPr="003D6532">
        <w:rPr>
          <w:lang w:val="en-US"/>
        </w:rPr>
        <w:t>McGraw-Hill Education (UK).</w:t>
      </w:r>
      <w:proofErr w:type="gramEnd"/>
    </w:p>
    <w:p w14:paraId="5E04D35A" w14:textId="77777777" w:rsidR="0042477D" w:rsidRPr="003D6532" w:rsidRDefault="0042477D" w:rsidP="00907AB2">
      <w:pPr>
        <w:spacing w:line="360" w:lineRule="auto"/>
        <w:ind w:left="708" w:hangingChars="295" w:hanging="708"/>
        <w:jc w:val="left"/>
        <w:rPr>
          <w:lang w:val="en-US"/>
        </w:rPr>
      </w:pPr>
      <w:r w:rsidRPr="003D6532">
        <w:rPr>
          <w:lang w:val="en-US"/>
        </w:rPr>
        <w:t xml:space="preserve">Gerber, Theodore P. 2000. “Educational Stratification in Contemporary Russia: Stability and Change in the Face of Economic and Institutional Crisis.” </w:t>
      </w:r>
      <w:r w:rsidRPr="003D6532">
        <w:rPr>
          <w:i/>
          <w:iCs/>
          <w:lang w:val="en-US"/>
        </w:rPr>
        <w:t>Sociology of Education</w:t>
      </w:r>
      <w:r w:rsidRPr="003D6532">
        <w:rPr>
          <w:lang w:val="en-US"/>
        </w:rPr>
        <w:t xml:space="preserve"> 73(4):219–46.</w:t>
      </w:r>
    </w:p>
    <w:p w14:paraId="7A2D12E3" w14:textId="77777777" w:rsidR="0042477D" w:rsidRPr="003D6532" w:rsidRDefault="0042477D" w:rsidP="00907AB2">
      <w:pPr>
        <w:spacing w:line="360" w:lineRule="auto"/>
        <w:ind w:left="708" w:hangingChars="295" w:hanging="708"/>
        <w:jc w:val="left"/>
        <w:rPr>
          <w:lang w:val="en-US"/>
        </w:rPr>
      </w:pPr>
      <w:r w:rsidRPr="003D6532">
        <w:rPr>
          <w:lang w:val="en-US"/>
        </w:rPr>
        <w:t xml:space="preserve">Gerber, Theodore P. 2003. “Loosening Links? </w:t>
      </w:r>
      <w:proofErr w:type="gramStart"/>
      <w:r w:rsidRPr="003D6532">
        <w:rPr>
          <w:lang w:val="en-US"/>
        </w:rPr>
        <w:t>School-to-Work Transitions and Institutional Change in Russia since 1970.”</w:t>
      </w:r>
      <w:proofErr w:type="gramEnd"/>
      <w:r w:rsidRPr="003D6532">
        <w:rPr>
          <w:lang w:val="en-US"/>
        </w:rPr>
        <w:t xml:space="preserve"> </w:t>
      </w:r>
      <w:r w:rsidRPr="003D6532">
        <w:rPr>
          <w:i/>
          <w:iCs/>
          <w:lang w:val="en-US"/>
        </w:rPr>
        <w:t>Social Forces</w:t>
      </w:r>
      <w:r w:rsidRPr="003D6532">
        <w:rPr>
          <w:lang w:val="en-US"/>
        </w:rPr>
        <w:t xml:space="preserve"> 82(1):241–76.</w:t>
      </w:r>
    </w:p>
    <w:p w14:paraId="2E3A7D96"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Gerber, Theodore P. and David R. Schaefer.</w:t>
      </w:r>
      <w:proofErr w:type="gramEnd"/>
      <w:r w:rsidRPr="003D6532">
        <w:rPr>
          <w:lang w:val="en-US"/>
        </w:rPr>
        <w:t xml:space="preserve"> 2004. “Horizontal Stratification of Higher Education in Russia: Trends, Gender Differences, and Labor Market Outcomes.” </w:t>
      </w:r>
      <w:r w:rsidRPr="003D6532">
        <w:rPr>
          <w:i/>
          <w:iCs/>
          <w:lang w:val="en-US"/>
        </w:rPr>
        <w:t>Sociology of Education</w:t>
      </w:r>
      <w:r w:rsidRPr="003D6532">
        <w:rPr>
          <w:lang w:val="en-US"/>
        </w:rPr>
        <w:t xml:space="preserve"> 77(1):32–59.</w:t>
      </w:r>
    </w:p>
    <w:p w14:paraId="14F0A55B"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Hanushek</w:t>
      </w:r>
      <w:proofErr w:type="spellEnd"/>
      <w:r w:rsidRPr="003D6532">
        <w:rPr>
          <w:lang w:val="en-US"/>
        </w:rPr>
        <w:t xml:space="preserve">, Eric A. and </w:t>
      </w:r>
      <w:proofErr w:type="spellStart"/>
      <w:r w:rsidRPr="003D6532">
        <w:rPr>
          <w:lang w:val="en-US"/>
        </w:rPr>
        <w:t>Ludger</w:t>
      </w:r>
      <w:proofErr w:type="spellEnd"/>
      <w:r w:rsidRPr="003D6532">
        <w:rPr>
          <w:lang w:val="en-US"/>
        </w:rPr>
        <w:t xml:space="preserve"> </w:t>
      </w:r>
      <w:proofErr w:type="spellStart"/>
      <w:r w:rsidRPr="003D6532">
        <w:rPr>
          <w:lang w:val="en-US"/>
        </w:rPr>
        <w:t>Wößmann</w:t>
      </w:r>
      <w:proofErr w:type="spellEnd"/>
      <w:r w:rsidRPr="003D6532">
        <w:rPr>
          <w:lang w:val="en-US"/>
        </w:rPr>
        <w:t>.</w:t>
      </w:r>
      <w:proofErr w:type="gramEnd"/>
      <w:r w:rsidRPr="003D6532">
        <w:rPr>
          <w:lang w:val="en-US"/>
        </w:rPr>
        <w:t xml:space="preserve"> 2006. “Does Educational Tracking Affect Performance and Inequality? </w:t>
      </w:r>
      <w:proofErr w:type="gramStart"/>
      <w:r w:rsidRPr="003D6532">
        <w:rPr>
          <w:lang w:val="en-US"/>
        </w:rPr>
        <w:t>Differences-in-Differences Evidence across Countries.”</w:t>
      </w:r>
      <w:proofErr w:type="gramEnd"/>
      <w:r w:rsidRPr="003D6532">
        <w:rPr>
          <w:lang w:val="en-US"/>
        </w:rPr>
        <w:t xml:space="preserve"> </w:t>
      </w:r>
      <w:r w:rsidRPr="003D6532">
        <w:rPr>
          <w:i/>
          <w:iCs/>
          <w:lang w:val="en-US"/>
        </w:rPr>
        <w:t>The Economic Journal</w:t>
      </w:r>
      <w:r w:rsidRPr="003D6532">
        <w:rPr>
          <w:lang w:val="en-US"/>
        </w:rPr>
        <w:t xml:space="preserve"> 116(510):C63–76.</w:t>
      </w:r>
    </w:p>
    <w:p w14:paraId="6F0460EF"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Hartlaub</w:t>
      </w:r>
      <w:proofErr w:type="spellEnd"/>
      <w:r w:rsidRPr="003D6532">
        <w:rPr>
          <w:lang w:val="en-US"/>
        </w:rPr>
        <w:t>, Vanessa and Thorsten Schneider.</w:t>
      </w:r>
      <w:proofErr w:type="gramEnd"/>
      <w:r w:rsidRPr="003D6532">
        <w:rPr>
          <w:lang w:val="en-US"/>
        </w:rPr>
        <w:t xml:space="preserve"> 2012. </w:t>
      </w:r>
      <w:r w:rsidRPr="003D6532">
        <w:rPr>
          <w:i/>
          <w:iCs/>
          <w:lang w:val="en-US"/>
        </w:rPr>
        <w:t>Educational Choice and Risk Aversion: How Important Is Structural vs. Individual Risk Aversion?</w:t>
      </w:r>
      <w:r w:rsidRPr="003D6532">
        <w:rPr>
          <w:lang w:val="en-US"/>
        </w:rPr>
        <w:t xml:space="preserve"> Berlin: German Socio-Economic Panel Study.</w:t>
      </w:r>
    </w:p>
    <w:p w14:paraId="1607989A"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Hoelscher</w:t>
      </w:r>
      <w:proofErr w:type="spellEnd"/>
      <w:r w:rsidRPr="003D6532">
        <w:rPr>
          <w:lang w:val="en-US"/>
        </w:rPr>
        <w:t xml:space="preserve">, Michael, Geoff Hayward, Hubert </w:t>
      </w:r>
      <w:proofErr w:type="spellStart"/>
      <w:r w:rsidRPr="003D6532">
        <w:rPr>
          <w:lang w:val="en-US"/>
        </w:rPr>
        <w:t>Ertl</w:t>
      </w:r>
      <w:proofErr w:type="spellEnd"/>
      <w:r w:rsidRPr="003D6532">
        <w:rPr>
          <w:lang w:val="en-US"/>
        </w:rPr>
        <w:t>, and Harriet Dunbar</w:t>
      </w:r>
      <w:r w:rsidRPr="003D6532">
        <w:rPr>
          <w:rFonts w:ascii="Cambria Math" w:hAnsi="Cambria Math" w:cs="Cambria Math"/>
          <w:lang w:val="en-US"/>
        </w:rPr>
        <w:t>‐</w:t>
      </w:r>
      <w:proofErr w:type="spellStart"/>
      <w:r w:rsidRPr="003D6532">
        <w:rPr>
          <w:lang w:val="en-US"/>
        </w:rPr>
        <w:t>Goddet</w:t>
      </w:r>
      <w:proofErr w:type="spellEnd"/>
      <w:r w:rsidRPr="003D6532">
        <w:rPr>
          <w:lang w:val="en-US"/>
        </w:rPr>
        <w:t>.</w:t>
      </w:r>
      <w:proofErr w:type="gramEnd"/>
      <w:r w:rsidRPr="003D6532">
        <w:rPr>
          <w:lang w:val="en-US"/>
        </w:rPr>
        <w:t xml:space="preserve"> 2008. </w:t>
      </w:r>
      <w:r w:rsidRPr="003D6532">
        <w:rPr>
          <w:rFonts w:cs="Times New Roman"/>
          <w:lang w:val="en-US"/>
        </w:rPr>
        <w:t>“</w:t>
      </w:r>
      <w:r w:rsidRPr="003D6532">
        <w:rPr>
          <w:lang w:val="en-US"/>
        </w:rPr>
        <w:t>The Transition from Vocational Education and Training to Higher Education: A Successful Pathway?</w:t>
      </w:r>
      <w:r w:rsidRPr="003D6532">
        <w:rPr>
          <w:rFonts w:cs="Times New Roman"/>
          <w:lang w:val="en-US"/>
        </w:rPr>
        <w:t>”</w:t>
      </w:r>
      <w:r w:rsidRPr="003D6532">
        <w:rPr>
          <w:lang w:val="en-US"/>
        </w:rPr>
        <w:t xml:space="preserve"> </w:t>
      </w:r>
      <w:r w:rsidRPr="003D6532">
        <w:rPr>
          <w:i/>
          <w:iCs/>
          <w:lang w:val="en-US"/>
        </w:rPr>
        <w:t>Research Papers in Education</w:t>
      </w:r>
      <w:r w:rsidRPr="003D6532">
        <w:rPr>
          <w:lang w:val="en-US"/>
        </w:rPr>
        <w:t xml:space="preserve"> 23(2):139–51.</w:t>
      </w:r>
    </w:p>
    <w:p w14:paraId="3C761573" w14:textId="77777777" w:rsidR="0042477D" w:rsidRPr="003D6532" w:rsidRDefault="0042477D" w:rsidP="00907AB2">
      <w:pPr>
        <w:spacing w:line="360" w:lineRule="auto"/>
        <w:ind w:left="708" w:hangingChars="295" w:hanging="708"/>
        <w:jc w:val="left"/>
        <w:rPr>
          <w:lang w:val="en-US"/>
        </w:rPr>
      </w:pPr>
      <w:r w:rsidRPr="003D6532">
        <w:rPr>
          <w:lang w:val="en-US"/>
        </w:rPr>
        <w:t xml:space="preserve">Holm, Anders, </w:t>
      </w:r>
      <w:proofErr w:type="spellStart"/>
      <w:proofErr w:type="gramStart"/>
      <w:r w:rsidRPr="003D6532">
        <w:rPr>
          <w:lang w:val="en-US"/>
        </w:rPr>
        <w:t>Mads</w:t>
      </w:r>
      <w:proofErr w:type="spellEnd"/>
      <w:proofErr w:type="gramEnd"/>
      <w:r w:rsidRPr="003D6532">
        <w:rPr>
          <w:lang w:val="en-US"/>
        </w:rPr>
        <w:t xml:space="preserve"> Meier </w:t>
      </w:r>
      <w:proofErr w:type="spellStart"/>
      <w:r w:rsidRPr="003D6532">
        <w:rPr>
          <w:lang w:val="en-US"/>
        </w:rPr>
        <w:t>Jæger</w:t>
      </w:r>
      <w:proofErr w:type="spellEnd"/>
      <w:r w:rsidRPr="003D6532">
        <w:rPr>
          <w:lang w:val="en-US"/>
        </w:rPr>
        <w:t xml:space="preserve">, </w:t>
      </w:r>
      <w:proofErr w:type="spellStart"/>
      <w:r w:rsidRPr="003D6532">
        <w:rPr>
          <w:lang w:val="en-US"/>
        </w:rPr>
        <w:t>Kristian</w:t>
      </w:r>
      <w:proofErr w:type="spellEnd"/>
      <w:r w:rsidRPr="003D6532">
        <w:rPr>
          <w:lang w:val="en-US"/>
        </w:rPr>
        <w:t xml:space="preserve"> </w:t>
      </w:r>
      <w:proofErr w:type="spellStart"/>
      <w:r w:rsidRPr="003D6532">
        <w:rPr>
          <w:lang w:val="en-US"/>
        </w:rPr>
        <w:t>Bernt</w:t>
      </w:r>
      <w:proofErr w:type="spellEnd"/>
      <w:r w:rsidRPr="003D6532">
        <w:rPr>
          <w:lang w:val="en-US"/>
        </w:rPr>
        <w:t xml:space="preserve"> </w:t>
      </w:r>
      <w:proofErr w:type="spellStart"/>
      <w:r w:rsidRPr="003D6532">
        <w:rPr>
          <w:lang w:val="en-US"/>
        </w:rPr>
        <w:t>Karlson</w:t>
      </w:r>
      <w:proofErr w:type="spellEnd"/>
      <w:r w:rsidRPr="003D6532">
        <w:rPr>
          <w:lang w:val="en-US"/>
        </w:rPr>
        <w:t xml:space="preserve">, and David Reimer. 2013. “Incomplete Equalization: The Effect of Tracking in Secondary Education on Educational Inequality.” </w:t>
      </w:r>
      <w:r w:rsidRPr="003D6532">
        <w:rPr>
          <w:i/>
          <w:iCs/>
          <w:lang w:val="en-US"/>
        </w:rPr>
        <w:t>Social Science Research</w:t>
      </w:r>
      <w:r w:rsidRPr="003D6532">
        <w:rPr>
          <w:lang w:val="en-US"/>
        </w:rPr>
        <w:t xml:space="preserve"> 42(6):1431–42.</w:t>
      </w:r>
    </w:p>
    <w:p w14:paraId="1921BDE3" w14:textId="2AA212BD" w:rsidR="0042477D" w:rsidRPr="003D6532" w:rsidRDefault="0042477D" w:rsidP="00907AB2">
      <w:pPr>
        <w:spacing w:line="360" w:lineRule="auto"/>
        <w:ind w:left="708" w:hangingChars="295" w:hanging="708"/>
        <w:jc w:val="left"/>
        <w:rPr>
          <w:lang w:val="en-US"/>
        </w:rPr>
      </w:pPr>
      <w:r w:rsidRPr="003D6532">
        <w:rPr>
          <w:lang w:val="en-US"/>
        </w:rPr>
        <w:t xml:space="preserve">Klein, Eduard. 2012. “Academic Corruption in Russia.” Pp. 225–40 in </w:t>
      </w:r>
      <w:r w:rsidRPr="003D6532">
        <w:rPr>
          <w:i/>
          <w:iCs/>
          <w:lang w:val="en-US"/>
        </w:rPr>
        <w:t>Informal Relations from Democratic Representation to Corruption: Case studies from Central and Eastern Europe</w:t>
      </w:r>
      <w:r w:rsidRPr="003D6532">
        <w:rPr>
          <w:lang w:val="en-US"/>
        </w:rPr>
        <w:t xml:space="preserve">, edited by Z. </w:t>
      </w:r>
      <w:proofErr w:type="spellStart"/>
      <w:r w:rsidRPr="003D6532">
        <w:rPr>
          <w:lang w:val="en-US"/>
        </w:rPr>
        <w:t>Mansfeldov</w:t>
      </w:r>
      <w:r w:rsidR="00B203E6" w:rsidRPr="003D6532">
        <w:rPr>
          <w:lang w:val="en-US"/>
        </w:rPr>
        <w:t>á</w:t>
      </w:r>
      <w:proofErr w:type="spellEnd"/>
      <w:r w:rsidR="00B203E6" w:rsidRPr="003D6532">
        <w:rPr>
          <w:lang w:val="en-US"/>
        </w:rPr>
        <w:t xml:space="preserve"> and H. </w:t>
      </w:r>
      <w:proofErr w:type="spellStart"/>
      <w:r w:rsidR="00B203E6" w:rsidRPr="003D6532">
        <w:rPr>
          <w:lang w:val="en-US"/>
        </w:rPr>
        <w:t>Pleines</w:t>
      </w:r>
      <w:proofErr w:type="spellEnd"/>
      <w:r w:rsidR="00B203E6" w:rsidRPr="003D6532">
        <w:rPr>
          <w:lang w:val="en-US"/>
        </w:rPr>
        <w:t xml:space="preserve">. </w:t>
      </w:r>
      <w:proofErr w:type="spellStart"/>
      <w:r w:rsidR="00B203E6" w:rsidRPr="003D6532">
        <w:rPr>
          <w:lang w:val="en-US"/>
        </w:rPr>
        <w:t>ibidem</w:t>
      </w:r>
      <w:proofErr w:type="spellEnd"/>
      <w:r w:rsidR="00B203E6" w:rsidRPr="003D6532">
        <w:rPr>
          <w:lang w:val="en-US"/>
        </w:rPr>
        <w:t xml:space="preserve"> Press.</w:t>
      </w:r>
    </w:p>
    <w:p w14:paraId="3E7E7087"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Kosyakova</w:t>
      </w:r>
      <w:proofErr w:type="spellEnd"/>
      <w:r w:rsidRPr="003D6532">
        <w:rPr>
          <w:lang w:val="en-US"/>
        </w:rPr>
        <w:t xml:space="preserve">, </w:t>
      </w:r>
      <w:proofErr w:type="spellStart"/>
      <w:r w:rsidRPr="003D6532">
        <w:rPr>
          <w:lang w:val="en-US"/>
        </w:rPr>
        <w:t>Yuliya</w:t>
      </w:r>
      <w:proofErr w:type="spellEnd"/>
      <w:r w:rsidRPr="003D6532">
        <w:rPr>
          <w:lang w:val="en-US"/>
        </w:rPr>
        <w:t xml:space="preserve">, </w:t>
      </w:r>
      <w:proofErr w:type="spellStart"/>
      <w:r w:rsidRPr="003D6532">
        <w:rPr>
          <w:lang w:val="en-US"/>
        </w:rPr>
        <w:t>Gordey</w:t>
      </w:r>
      <w:proofErr w:type="spellEnd"/>
      <w:r w:rsidRPr="003D6532">
        <w:rPr>
          <w:lang w:val="en-US"/>
        </w:rPr>
        <w:t xml:space="preserve"> </w:t>
      </w:r>
      <w:proofErr w:type="spellStart"/>
      <w:r w:rsidRPr="003D6532">
        <w:rPr>
          <w:lang w:val="en-US"/>
        </w:rPr>
        <w:t>Yastrebov</w:t>
      </w:r>
      <w:proofErr w:type="spellEnd"/>
      <w:r w:rsidRPr="003D6532">
        <w:rPr>
          <w:lang w:val="en-US"/>
        </w:rPr>
        <w:t xml:space="preserve">, Diana </w:t>
      </w:r>
      <w:proofErr w:type="spellStart"/>
      <w:r w:rsidRPr="003D6532">
        <w:rPr>
          <w:lang w:val="en-US"/>
        </w:rPr>
        <w:t>Yanbarisova</w:t>
      </w:r>
      <w:proofErr w:type="spellEnd"/>
      <w:r w:rsidRPr="003D6532">
        <w:rPr>
          <w:lang w:val="en-US"/>
        </w:rPr>
        <w:t xml:space="preserve">, and Dmitry </w:t>
      </w:r>
      <w:proofErr w:type="spellStart"/>
      <w:r w:rsidRPr="003D6532">
        <w:rPr>
          <w:lang w:val="en-US"/>
        </w:rPr>
        <w:t>Kurakin</w:t>
      </w:r>
      <w:proofErr w:type="spellEnd"/>
      <w:r w:rsidRPr="003D6532">
        <w:rPr>
          <w:lang w:val="en-US"/>
        </w:rPr>
        <w:t>.</w:t>
      </w:r>
      <w:proofErr w:type="gramEnd"/>
      <w:r w:rsidRPr="003D6532">
        <w:rPr>
          <w:lang w:val="en-US"/>
        </w:rPr>
        <w:t xml:space="preserve"> 2016. “The Reproduction of Social Inequality within the Russian Educational System.” in </w:t>
      </w:r>
      <w:r w:rsidRPr="003D6532">
        <w:rPr>
          <w:i/>
          <w:iCs/>
          <w:lang w:val="en-US"/>
        </w:rPr>
        <w:t xml:space="preserve">Models </w:t>
      </w:r>
      <w:r w:rsidRPr="003D6532">
        <w:rPr>
          <w:i/>
          <w:iCs/>
          <w:lang w:val="en-US"/>
        </w:rPr>
        <w:lastRenderedPageBreak/>
        <w:t>of Secondary Education and Social Inequality: An International Comparison</w:t>
      </w:r>
      <w:r w:rsidRPr="003D6532">
        <w:rPr>
          <w:lang w:val="en-US"/>
        </w:rPr>
        <w:t xml:space="preserve">, </w:t>
      </w:r>
      <w:proofErr w:type="spellStart"/>
      <w:r w:rsidRPr="003D6532">
        <w:rPr>
          <w:i/>
          <w:iCs/>
          <w:lang w:val="en-US"/>
        </w:rPr>
        <w:t>eduLIFE</w:t>
      </w:r>
      <w:proofErr w:type="spellEnd"/>
      <w:r w:rsidRPr="003D6532">
        <w:rPr>
          <w:i/>
          <w:iCs/>
          <w:lang w:val="en-US"/>
        </w:rPr>
        <w:t xml:space="preserve"> Lifelong Learning</w:t>
      </w:r>
      <w:r w:rsidRPr="003D6532">
        <w:rPr>
          <w:lang w:val="en-US"/>
        </w:rPr>
        <w:t xml:space="preserve">, edited by H.-P. </w:t>
      </w:r>
      <w:proofErr w:type="spellStart"/>
      <w:proofErr w:type="gramStart"/>
      <w:r w:rsidRPr="003D6532">
        <w:rPr>
          <w:lang w:val="en-US"/>
        </w:rPr>
        <w:t>Blossfeld</w:t>
      </w:r>
      <w:proofErr w:type="spellEnd"/>
      <w:r w:rsidRPr="003D6532">
        <w:rPr>
          <w:lang w:val="en-US"/>
        </w:rPr>
        <w:t xml:space="preserve">, S. Buchholz, J. </w:t>
      </w:r>
      <w:proofErr w:type="spellStart"/>
      <w:r w:rsidRPr="003D6532">
        <w:rPr>
          <w:lang w:val="en-US"/>
        </w:rPr>
        <w:t>Skopek</w:t>
      </w:r>
      <w:proofErr w:type="spellEnd"/>
      <w:r w:rsidRPr="003D6532">
        <w:rPr>
          <w:lang w:val="en-US"/>
        </w:rPr>
        <w:t xml:space="preserve">, and M. </w:t>
      </w:r>
      <w:proofErr w:type="spellStart"/>
      <w:r w:rsidRPr="003D6532">
        <w:rPr>
          <w:lang w:val="en-US"/>
        </w:rPr>
        <w:t>Triventi</w:t>
      </w:r>
      <w:proofErr w:type="spellEnd"/>
      <w:r w:rsidRPr="003D6532">
        <w:rPr>
          <w:lang w:val="en-US"/>
        </w:rPr>
        <w:t>.</w:t>
      </w:r>
      <w:proofErr w:type="gramEnd"/>
      <w:r w:rsidRPr="003D6532">
        <w:rPr>
          <w:lang w:val="en-US"/>
        </w:rPr>
        <w:t xml:space="preserve"> </w:t>
      </w:r>
      <w:proofErr w:type="gramStart"/>
      <w:r w:rsidRPr="003D6532">
        <w:rPr>
          <w:lang w:val="en-US"/>
        </w:rPr>
        <w:t>Edward Elgar Publishing.</w:t>
      </w:r>
      <w:proofErr w:type="gramEnd"/>
    </w:p>
    <w:p w14:paraId="13AFB453"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Kyui</w:t>
      </w:r>
      <w:proofErr w:type="spellEnd"/>
      <w:r w:rsidRPr="003D6532">
        <w:rPr>
          <w:lang w:val="en-US"/>
        </w:rPr>
        <w:t xml:space="preserve">, Natalia. 2016. “Expansion of Higher Education, Employment and Wages: Evidence from the Russian Transition.” </w:t>
      </w:r>
      <w:proofErr w:type="spellStart"/>
      <w:r w:rsidRPr="003D6532">
        <w:rPr>
          <w:i/>
          <w:iCs/>
          <w:lang w:val="en-US"/>
        </w:rPr>
        <w:t>Labour</w:t>
      </w:r>
      <w:proofErr w:type="spellEnd"/>
      <w:r w:rsidRPr="003D6532">
        <w:rPr>
          <w:i/>
          <w:iCs/>
          <w:lang w:val="en-US"/>
        </w:rPr>
        <w:t xml:space="preserve"> Economics</w:t>
      </w:r>
      <w:r w:rsidRPr="003D6532">
        <w:rPr>
          <w:lang w:val="en-US"/>
        </w:rPr>
        <w:t xml:space="preserve"> 39:68–87.</w:t>
      </w:r>
    </w:p>
    <w:p w14:paraId="56A5A05A" w14:textId="77777777" w:rsidR="0042477D" w:rsidRPr="003D6532" w:rsidRDefault="0042477D" w:rsidP="00907AB2">
      <w:pPr>
        <w:spacing w:line="360" w:lineRule="auto"/>
        <w:ind w:left="708" w:hangingChars="295" w:hanging="708"/>
        <w:jc w:val="left"/>
        <w:rPr>
          <w:lang w:val="en-US"/>
        </w:rPr>
      </w:pPr>
      <w:r w:rsidRPr="003D6532">
        <w:rPr>
          <w:lang w:val="en-US"/>
        </w:rPr>
        <w:t xml:space="preserve">Lucas, Samuel R. 2001. “Effectively Maintained Inequality: Education Transitions, Track Mobility, and Social Background Effects.” </w:t>
      </w:r>
      <w:r w:rsidRPr="003D6532">
        <w:rPr>
          <w:i/>
          <w:iCs/>
          <w:lang w:val="en-US"/>
        </w:rPr>
        <w:t>American Journal of Sociology</w:t>
      </w:r>
      <w:r w:rsidRPr="003D6532">
        <w:rPr>
          <w:lang w:val="en-US"/>
        </w:rPr>
        <w:t xml:space="preserve"> 106(6):1642–90.</w:t>
      </w:r>
    </w:p>
    <w:p w14:paraId="2B05927C"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Meghir</w:t>
      </w:r>
      <w:proofErr w:type="spellEnd"/>
      <w:r w:rsidRPr="003D6532">
        <w:rPr>
          <w:lang w:val="en-US"/>
        </w:rPr>
        <w:t xml:space="preserve">, Costas and </w:t>
      </w:r>
      <w:proofErr w:type="spellStart"/>
      <w:r w:rsidRPr="003D6532">
        <w:rPr>
          <w:lang w:val="en-US"/>
        </w:rPr>
        <w:t>Mårten</w:t>
      </w:r>
      <w:proofErr w:type="spellEnd"/>
      <w:r w:rsidRPr="003D6532">
        <w:rPr>
          <w:lang w:val="en-US"/>
        </w:rPr>
        <w:t xml:space="preserve"> Palme.</w:t>
      </w:r>
      <w:proofErr w:type="gramEnd"/>
      <w:r w:rsidRPr="003D6532">
        <w:rPr>
          <w:lang w:val="en-US"/>
        </w:rPr>
        <w:t xml:space="preserve"> 2005. “Educational Reform, Ability, and Family Background.” </w:t>
      </w:r>
      <w:r w:rsidRPr="003D6532">
        <w:rPr>
          <w:i/>
          <w:iCs/>
          <w:lang w:val="en-US"/>
        </w:rPr>
        <w:t>The American Economic Review</w:t>
      </w:r>
      <w:r w:rsidRPr="003D6532">
        <w:rPr>
          <w:lang w:val="en-US"/>
        </w:rPr>
        <w:t xml:space="preserve"> 95(1):414–24.</w:t>
      </w:r>
    </w:p>
    <w:p w14:paraId="0FD16735"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Moodie</w:t>
      </w:r>
      <w:proofErr w:type="spellEnd"/>
      <w:r w:rsidRPr="003D6532">
        <w:rPr>
          <w:lang w:val="en-US"/>
        </w:rPr>
        <w:t xml:space="preserve">, Gavin and </w:t>
      </w:r>
      <w:proofErr w:type="spellStart"/>
      <w:r w:rsidRPr="003D6532">
        <w:rPr>
          <w:lang w:val="en-US"/>
        </w:rPr>
        <w:t>Leesa</w:t>
      </w:r>
      <w:proofErr w:type="spellEnd"/>
      <w:r w:rsidRPr="003D6532">
        <w:rPr>
          <w:lang w:val="en-US"/>
        </w:rPr>
        <w:t xml:space="preserve"> </w:t>
      </w:r>
      <w:proofErr w:type="spellStart"/>
      <w:r w:rsidRPr="003D6532">
        <w:rPr>
          <w:lang w:val="en-US"/>
        </w:rPr>
        <w:t>Wheelahan</w:t>
      </w:r>
      <w:proofErr w:type="spellEnd"/>
      <w:r w:rsidRPr="003D6532">
        <w:rPr>
          <w:lang w:val="en-US"/>
        </w:rPr>
        <w:t>.</w:t>
      </w:r>
      <w:proofErr w:type="gramEnd"/>
      <w:r w:rsidRPr="003D6532">
        <w:rPr>
          <w:lang w:val="en-US"/>
        </w:rPr>
        <w:t xml:space="preserve"> 2009. “The Significance of Australian Vocational Education Institutions in Opening Access to Higher Education.” </w:t>
      </w:r>
      <w:r w:rsidRPr="003D6532">
        <w:rPr>
          <w:i/>
          <w:iCs/>
          <w:lang w:val="en-US"/>
        </w:rPr>
        <w:t>Higher Education Quarterly</w:t>
      </w:r>
      <w:r w:rsidRPr="003D6532">
        <w:rPr>
          <w:lang w:val="en-US"/>
        </w:rPr>
        <w:t xml:space="preserve"> 63(4):356–70.</w:t>
      </w:r>
    </w:p>
    <w:p w14:paraId="6F710CA8" w14:textId="77777777" w:rsidR="0042477D" w:rsidRPr="003D6532" w:rsidRDefault="0042477D" w:rsidP="00907AB2">
      <w:pPr>
        <w:spacing w:line="360" w:lineRule="auto"/>
        <w:ind w:left="708" w:hangingChars="295" w:hanging="708"/>
        <w:jc w:val="left"/>
        <w:rPr>
          <w:lang w:val="en-US"/>
        </w:rPr>
      </w:pPr>
      <w:r w:rsidRPr="003D6532">
        <w:rPr>
          <w:lang w:val="en-US"/>
        </w:rPr>
        <w:t xml:space="preserve">Oakes, Jeannie. 2005. </w:t>
      </w:r>
      <w:r w:rsidRPr="003D6532">
        <w:rPr>
          <w:i/>
          <w:iCs/>
          <w:lang w:val="en-US"/>
        </w:rPr>
        <w:t>Keeping Track: How Schools Structure Inequality</w:t>
      </w:r>
      <w:r w:rsidRPr="003D6532">
        <w:rPr>
          <w:lang w:val="en-US"/>
        </w:rPr>
        <w:t xml:space="preserve">. </w:t>
      </w:r>
      <w:proofErr w:type="gramStart"/>
      <w:r w:rsidRPr="003D6532">
        <w:rPr>
          <w:lang w:val="en-US"/>
        </w:rPr>
        <w:t>2nd ed. Yale University Press.</w:t>
      </w:r>
      <w:proofErr w:type="gramEnd"/>
    </w:p>
    <w:p w14:paraId="5EFF6FE8" w14:textId="77777777" w:rsidR="0042477D" w:rsidRPr="003D6532" w:rsidRDefault="0042477D" w:rsidP="00907AB2">
      <w:pPr>
        <w:spacing w:line="360" w:lineRule="auto"/>
        <w:ind w:left="708" w:hangingChars="295" w:hanging="708"/>
        <w:jc w:val="left"/>
        <w:rPr>
          <w:lang w:val="en-US"/>
        </w:rPr>
      </w:pPr>
      <w:proofErr w:type="gramStart"/>
      <w:r w:rsidRPr="003D6532">
        <w:rPr>
          <w:lang w:val="en-US"/>
        </w:rPr>
        <w:t xml:space="preserve">O’Shea, Sarah, Pauline </w:t>
      </w:r>
      <w:proofErr w:type="spellStart"/>
      <w:r w:rsidRPr="003D6532">
        <w:rPr>
          <w:lang w:val="en-US"/>
        </w:rPr>
        <w:t>Lysaght</w:t>
      </w:r>
      <w:proofErr w:type="spellEnd"/>
      <w:r w:rsidRPr="003D6532">
        <w:rPr>
          <w:lang w:val="en-US"/>
        </w:rPr>
        <w:t>, and Kathleen Tanner.</w:t>
      </w:r>
      <w:proofErr w:type="gramEnd"/>
      <w:r w:rsidRPr="003D6532">
        <w:rPr>
          <w:lang w:val="en-US"/>
        </w:rPr>
        <w:t xml:space="preserve"> 2012. “Stepping into Higher Education from the Vocational Education Sector in Australia: Student Perceptions and Experiences.” </w:t>
      </w:r>
      <w:r w:rsidRPr="003D6532">
        <w:rPr>
          <w:i/>
          <w:iCs/>
          <w:lang w:val="en-US"/>
        </w:rPr>
        <w:t>Journal of Vocational Education &amp; Training</w:t>
      </w:r>
      <w:r w:rsidRPr="003D6532">
        <w:rPr>
          <w:lang w:val="en-US"/>
        </w:rPr>
        <w:t xml:space="preserve"> 64(3):261–77.</w:t>
      </w:r>
    </w:p>
    <w:p w14:paraId="08750042"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Pekkala</w:t>
      </w:r>
      <w:proofErr w:type="spellEnd"/>
      <w:r w:rsidRPr="003D6532">
        <w:rPr>
          <w:lang w:val="en-US"/>
        </w:rPr>
        <w:t xml:space="preserve"> Kerr, Sari, </w:t>
      </w:r>
      <w:proofErr w:type="spellStart"/>
      <w:r w:rsidRPr="003D6532">
        <w:rPr>
          <w:lang w:val="en-US"/>
        </w:rPr>
        <w:t>Tuomas</w:t>
      </w:r>
      <w:proofErr w:type="spellEnd"/>
      <w:r w:rsidRPr="003D6532">
        <w:rPr>
          <w:lang w:val="en-US"/>
        </w:rPr>
        <w:t xml:space="preserve"> </w:t>
      </w:r>
      <w:proofErr w:type="spellStart"/>
      <w:r w:rsidRPr="003D6532">
        <w:rPr>
          <w:lang w:val="en-US"/>
        </w:rPr>
        <w:t>Pekkarinen</w:t>
      </w:r>
      <w:proofErr w:type="spellEnd"/>
      <w:r w:rsidRPr="003D6532">
        <w:rPr>
          <w:lang w:val="en-US"/>
        </w:rPr>
        <w:t xml:space="preserve">, and </w:t>
      </w:r>
      <w:proofErr w:type="spellStart"/>
      <w:r w:rsidRPr="003D6532">
        <w:rPr>
          <w:lang w:val="en-US"/>
        </w:rPr>
        <w:t>Roope</w:t>
      </w:r>
      <w:proofErr w:type="spellEnd"/>
      <w:r w:rsidRPr="003D6532">
        <w:rPr>
          <w:lang w:val="en-US"/>
        </w:rPr>
        <w:t xml:space="preserve"> </w:t>
      </w:r>
      <w:proofErr w:type="spellStart"/>
      <w:r w:rsidRPr="003D6532">
        <w:rPr>
          <w:lang w:val="en-US"/>
        </w:rPr>
        <w:t>Uusitalo</w:t>
      </w:r>
      <w:proofErr w:type="spellEnd"/>
      <w:r w:rsidRPr="003D6532">
        <w:rPr>
          <w:lang w:val="en-US"/>
        </w:rPr>
        <w:t>.</w:t>
      </w:r>
      <w:proofErr w:type="gramEnd"/>
      <w:r w:rsidRPr="003D6532">
        <w:rPr>
          <w:lang w:val="en-US"/>
        </w:rPr>
        <w:t xml:space="preserve"> 2013. “School Tracking and Development of Cognitive Skills.” </w:t>
      </w:r>
      <w:r w:rsidRPr="003D6532">
        <w:rPr>
          <w:i/>
          <w:iCs/>
          <w:lang w:val="en-US"/>
        </w:rPr>
        <w:t>Journal of Labor Economics</w:t>
      </w:r>
      <w:r w:rsidRPr="003D6532">
        <w:rPr>
          <w:lang w:val="en-US"/>
        </w:rPr>
        <w:t xml:space="preserve"> 31(3):577–602.</w:t>
      </w:r>
    </w:p>
    <w:p w14:paraId="0B97A9D0"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Pilz</w:t>
      </w:r>
      <w:proofErr w:type="spellEnd"/>
      <w:r w:rsidRPr="003D6532">
        <w:rPr>
          <w:lang w:val="en-US"/>
        </w:rPr>
        <w:t xml:space="preserve">, Matthias, ed. 2012. </w:t>
      </w:r>
      <w:proofErr w:type="gramStart"/>
      <w:r w:rsidRPr="003D6532">
        <w:rPr>
          <w:i/>
          <w:iCs/>
          <w:lang w:val="en-US"/>
        </w:rPr>
        <w:t>The Future of Vocational Education and Training in a Changing World</w:t>
      </w:r>
      <w:r w:rsidRPr="003D6532">
        <w:rPr>
          <w:lang w:val="en-US"/>
        </w:rPr>
        <w:t>.</w:t>
      </w:r>
      <w:proofErr w:type="gramEnd"/>
      <w:r w:rsidRPr="003D6532">
        <w:rPr>
          <w:lang w:val="en-US"/>
        </w:rPr>
        <w:t xml:space="preserve"> Wiesbaden: Springer.</w:t>
      </w:r>
    </w:p>
    <w:p w14:paraId="545A4F20" w14:textId="6A3F43CE"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Shavit</w:t>
      </w:r>
      <w:proofErr w:type="spellEnd"/>
      <w:r w:rsidRPr="003D6532">
        <w:rPr>
          <w:lang w:val="en-US"/>
        </w:rPr>
        <w:t xml:space="preserve">, Yossi and Hans-Peter </w:t>
      </w:r>
      <w:proofErr w:type="spellStart"/>
      <w:r w:rsidRPr="003D6532">
        <w:rPr>
          <w:lang w:val="en-US"/>
        </w:rPr>
        <w:t>Blossfeld</w:t>
      </w:r>
      <w:proofErr w:type="spellEnd"/>
      <w:r w:rsidRPr="003D6532">
        <w:rPr>
          <w:lang w:val="en-US"/>
        </w:rPr>
        <w:t>, eds. 1993.</w:t>
      </w:r>
      <w:proofErr w:type="gramEnd"/>
      <w:r w:rsidRPr="003D6532">
        <w:rPr>
          <w:lang w:val="en-US"/>
        </w:rPr>
        <w:t xml:space="preserve"> </w:t>
      </w:r>
      <w:r w:rsidRPr="003D6532">
        <w:rPr>
          <w:i/>
          <w:iCs/>
          <w:lang w:val="en-US"/>
        </w:rPr>
        <w:t>Persistent Inequality: Changing Educational Attainment in Thirteen Countries</w:t>
      </w:r>
      <w:r w:rsidRPr="003D6532">
        <w:rPr>
          <w:lang w:val="en-US"/>
        </w:rPr>
        <w:t xml:space="preserve">. Westview Press. </w:t>
      </w:r>
    </w:p>
    <w:p w14:paraId="279A722B"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Shavit</w:t>
      </w:r>
      <w:proofErr w:type="spellEnd"/>
      <w:r w:rsidRPr="003D6532">
        <w:rPr>
          <w:lang w:val="en-US"/>
        </w:rPr>
        <w:t>, Yossi and Walter Muller.</w:t>
      </w:r>
      <w:proofErr w:type="gramEnd"/>
      <w:r w:rsidRPr="003D6532">
        <w:rPr>
          <w:lang w:val="en-US"/>
        </w:rPr>
        <w:t xml:space="preserve"> 2000. “Vocational Secondary Education: Where Diversion and Where Safety Net?” </w:t>
      </w:r>
      <w:r w:rsidRPr="003D6532">
        <w:rPr>
          <w:i/>
          <w:iCs/>
          <w:lang w:val="en-US"/>
        </w:rPr>
        <w:t>European Societies</w:t>
      </w:r>
      <w:r w:rsidRPr="003D6532">
        <w:rPr>
          <w:lang w:val="en-US"/>
        </w:rPr>
        <w:t xml:space="preserve"> 2(1):29–50.</w:t>
      </w:r>
    </w:p>
    <w:p w14:paraId="6B1A928B" w14:textId="77777777" w:rsidR="0042477D" w:rsidRPr="003D6532" w:rsidRDefault="0042477D" w:rsidP="00907AB2">
      <w:pPr>
        <w:spacing w:line="360" w:lineRule="auto"/>
        <w:ind w:left="708" w:hangingChars="295" w:hanging="708"/>
        <w:jc w:val="left"/>
        <w:rPr>
          <w:lang w:val="en-US"/>
        </w:rPr>
      </w:pPr>
      <w:proofErr w:type="spellStart"/>
      <w:proofErr w:type="gramStart"/>
      <w:r w:rsidRPr="003D6532">
        <w:rPr>
          <w:lang w:val="en-US"/>
        </w:rPr>
        <w:t>Shavit</w:t>
      </w:r>
      <w:proofErr w:type="spellEnd"/>
      <w:r w:rsidRPr="003D6532">
        <w:rPr>
          <w:lang w:val="en-US"/>
        </w:rPr>
        <w:t>, Yossi, Walter Müller, and Clare Tame.</w:t>
      </w:r>
      <w:proofErr w:type="gramEnd"/>
      <w:r w:rsidRPr="003D6532">
        <w:rPr>
          <w:lang w:val="en-US"/>
        </w:rPr>
        <w:t xml:space="preserve"> 1998. </w:t>
      </w:r>
      <w:proofErr w:type="gramStart"/>
      <w:r w:rsidRPr="003D6532">
        <w:rPr>
          <w:i/>
          <w:iCs/>
          <w:lang w:val="en-US"/>
        </w:rPr>
        <w:t>From</w:t>
      </w:r>
      <w:proofErr w:type="gramEnd"/>
      <w:r w:rsidRPr="003D6532">
        <w:rPr>
          <w:i/>
          <w:iCs/>
          <w:lang w:val="en-US"/>
        </w:rPr>
        <w:t xml:space="preserve"> School to Work: A Comparative Study of Educational Qualifications and Occupational Destinations</w:t>
      </w:r>
      <w:r w:rsidRPr="003D6532">
        <w:rPr>
          <w:lang w:val="en-US"/>
        </w:rPr>
        <w:t>. Clarendon Press.</w:t>
      </w:r>
    </w:p>
    <w:p w14:paraId="7574BDCD" w14:textId="77777777" w:rsidR="0042477D" w:rsidRPr="003D6532" w:rsidRDefault="0042477D" w:rsidP="00907AB2">
      <w:pPr>
        <w:spacing w:line="360" w:lineRule="auto"/>
        <w:ind w:left="708" w:hangingChars="295" w:hanging="708"/>
        <w:jc w:val="left"/>
        <w:rPr>
          <w:lang w:val="en-US"/>
        </w:rPr>
      </w:pPr>
      <w:proofErr w:type="spellStart"/>
      <w:r w:rsidRPr="003D6532">
        <w:rPr>
          <w:lang w:val="en-US"/>
        </w:rPr>
        <w:t>Tieben</w:t>
      </w:r>
      <w:proofErr w:type="spellEnd"/>
      <w:r w:rsidRPr="003D6532">
        <w:rPr>
          <w:lang w:val="en-US"/>
        </w:rPr>
        <w:t xml:space="preserve">, Nicole. 2011. “Parental Resources and Relative Risk Aversion in Intra-Secondary Transitions: A Trend Analysis of Non-Standard Educational Decision Situations in the Netherlands.” </w:t>
      </w:r>
      <w:r w:rsidRPr="003D6532">
        <w:rPr>
          <w:i/>
          <w:iCs/>
          <w:lang w:val="en-US"/>
        </w:rPr>
        <w:t>European Sociological Review</w:t>
      </w:r>
      <w:r w:rsidRPr="003D6532">
        <w:rPr>
          <w:lang w:val="en-US"/>
        </w:rPr>
        <w:t xml:space="preserve"> 27(1):31–42.</w:t>
      </w:r>
    </w:p>
    <w:p w14:paraId="1AA2637A" w14:textId="77777777" w:rsidR="0042477D" w:rsidRPr="003D6532" w:rsidRDefault="0042477D" w:rsidP="00907AB2">
      <w:pPr>
        <w:spacing w:line="360" w:lineRule="auto"/>
        <w:ind w:left="708" w:hangingChars="295" w:hanging="708"/>
        <w:jc w:val="left"/>
        <w:rPr>
          <w:lang w:val="en-US"/>
        </w:rPr>
      </w:pPr>
      <w:r w:rsidRPr="003D6532">
        <w:rPr>
          <w:lang w:val="en-US"/>
        </w:rPr>
        <w:t>Walker, Charles. 2007. “Navigating a ‘zombie’ System: Youth Transitions from Vocational Education in post</w:t>
      </w:r>
      <w:r w:rsidRPr="003D6532">
        <w:rPr>
          <w:rFonts w:ascii="Cambria Math" w:hAnsi="Cambria Math" w:cs="Cambria Math"/>
          <w:lang w:val="en-US"/>
        </w:rPr>
        <w:t>‐</w:t>
      </w:r>
      <w:r w:rsidRPr="003D6532">
        <w:rPr>
          <w:lang w:val="en-US"/>
        </w:rPr>
        <w:t>Soviet Russia.</w:t>
      </w:r>
      <w:r w:rsidRPr="003D6532">
        <w:rPr>
          <w:rFonts w:cs="Times New Roman"/>
          <w:lang w:val="en-US"/>
        </w:rPr>
        <w:t>”</w:t>
      </w:r>
      <w:r w:rsidRPr="003D6532">
        <w:rPr>
          <w:lang w:val="en-US"/>
        </w:rPr>
        <w:t xml:space="preserve"> </w:t>
      </w:r>
      <w:r w:rsidRPr="003D6532">
        <w:rPr>
          <w:i/>
          <w:iCs/>
          <w:lang w:val="en-US"/>
        </w:rPr>
        <w:t>International Journal of Lifelong Education</w:t>
      </w:r>
      <w:r w:rsidRPr="003D6532">
        <w:rPr>
          <w:lang w:val="en-US"/>
        </w:rPr>
        <w:t xml:space="preserve"> 26(5):513–31.</w:t>
      </w:r>
    </w:p>
    <w:p w14:paraId="62CEF87D" w14:textId="72289E0C" w:rsidR="0042477D" w:rsidRPr="003D6532" w:rsidRDefault="00720D89" w:rsidP="00907AB2">
      <w:pPr>
        <w:spacing w:line="360" w:lineRule="auto"/>
        <w:ind w:left="708" w:hangingChars="295" w:hanging="708"/>
        <w:jc w:val="left"/>
        <w:rPr>
          <w:lang w:val="en-US"/>
        </w:rPr>
      </w:pPr>
      <w:proofErr w:type="gramStart"/>
      <w:r w:rsidRPr="003D6532">
        <w:rPr>
          <w:lang w:val="en-US"/>
        </w:rPr>
        <w:lastRenderedPageBreak/>
        <w:t xml:space="preserve">Van de </w:t>
      </w:r>
      <w:proofErr w:type="spellStart"/>
      <w:r w:rsidR="0042477D" w:rsidRPr="003D6532">
        <w:rPr>
          <w:lang w:val="en-US"/>
        </w:rPr>
        <w:t>Werfhorst</w:t>
      </w:r>
      <w:proofErr w:type="spellEnd"/>
      <w:r w:rsidR="0042477D" w:rsidRPr="003D6532">
        <w:rPr>
          <w:lang w:val="en-US"/>
        </w:rPr>
        <w:t xml:space="preserve">, Herman G. and Jonathan J. B. </w:t>
      </w:r>
      <w:proofErr w:type="spellStart"/>
      <w:r w:rsidR="0042477D" w:rsidRPr="003D6532">
        <w:rPr>
          <w:lang w:val="en-US"/>
        </w:rPr>
        <w:t>Mijs</w:t>
      </w:r>
      <w:proofErr w:type="spellEnd"/>
      <w:r w:rsidR="0042477D" w:rsidRPr="003D6532">
        <w:rPr>
          <w:lang w:val="en-US"/>
        </w:rPr>
        <w:t>.</w:t>
      </w:r>
      <w:proofErr w:type="gramEnd"/>
      <w:r w:rsidR="0042477D" w:rsidRPr="003D6532">
        <w:rPr>
          <w:lang w:val="en-US"/>
        </w:rPr>
        <w:t xml:space="preserve"> 2010. “Achievement Inequality and the Institutional Structure of Educational Systems: A Comparative Perspective.” </w:t>
      </w:r>
      <w:r w:rsidR="0042477D" w:rsidRPr="003D6532">
        <w:rPr>
          <w:i/>
          <w:iCs/>
          <w:lang w:val="en-US"/>
        </w:rPr>
        <w:t>Annual Review of Sociology</w:t>
      </w:r>
      <w:r w:rsidR="0042477D" w:rsidRPr="003D6532">
        <w:rPr>
          <w:lang w:val="en-US"/>
        </w:rPr>
        <w:t xml:space="preserve"> 36(1):407–28.</w:t>
      </w:r>
    </w:p>
    <w:p w14:paraId="391FC3F4" w14:textId="21B314B2" w:rsidR="0042477D" w:rsidRPr="003D6532" w:rsidRDefault="00B203E6" w:rsidP="00907AB2">
      <w:pPr>
        <w:spacing w:line="360" w:lineRule="auto"/>
        <w:ind w:left="708" w:hangingChars="295" w:hanging="708"/>
        <w:jc w:val="left"/>
        <w:rPr>
          <w:lang w:val="en-US"/>
        </w:rPr>
      </w:pPr>
      <w:proofErr w:type="spellStart"/>
      <w:proofErr w:type="gramStart"/>
      <w:r w:rsidRPr="003D6532">
        <w:rPr>
          <w:lang w:val="en-US"/>
        </w:rPr>
        <w:t>Roschina</w:t>
      </w:r>
      <w:proofErr w:type="spellEnd"/>
      <w:r w:rsidR="0042477D" w:rsidRPr="003D6532">
        <w:rPr>
          <w:lang w:val="en-US"/>
        </w:rPr>
        <w:t xml:space="preserve">, </w:t>
      </w:r>
      <w:r w:rsidRPr="003D6532">
        <w:rPr>
          <w:lang w:val="en-US"/>
        </w:rPr>
        <w:t>Yana</w:t>
      </w:r>
      <w:r w:rsidR="0042477D" w:rsidRPr="003D6532">
        <w:rPr>
          <w:lang w:val="en-US"/>
        </w:rPr>
        <w:t xml:space="preserve">, </w:t>
      </w:r>
      <w:r w:rsidRPr="003D6532">
        <w:rPr>
          <w:lang w:val="en-US"/>
        </w:rPr>
        <w:t xml:space="preserve">David </w:t>
      </w:r>
      <w:proofErr w:type="spellStart"/>
      <w:r w:rsidRPr="003D6532">
        <w:rPr>
          <w:lang w:val="en-US"/>
        </w:rPr>
        <w:t>Konstantinovskiy</w:t>
      </w:r>
      <w:proofErr w:type="spellEnd"/>
      <w:r w:rsidR="0042477D" w:rsidRPr="003D6532">
        <w:rPr>
          <w:lang w:val="en-US"/>
        </w:rPr>
        <w:t xml:space="preserve">, </w:t>
      </w:r>
      <w:r w:rsidRPr="003D6532">
        <w:rPr>
          <w:lang w:val="en-US"/>
        </w:rPr>
        <w:t xml:space="preserve">Dmitry </w:t>
      </w:r>
      <w:proofErr w:type="spellStart"/>
      <w:r w:rsidRPr="003D6532">
        <w:rPr>
          <w:lang w:val="en-US"/>
        </w:rPr>
        <w:t>Kurakin</w:t>
      </w:r>
      <w:proofErr w:type="spellEnd"/>
      <w:r w:rsidRPr="003D6532">
        <w:rPr>
          <w:lang w:val="en-US"/>
        </w:rPr>
        <w:t>,</w:t>
      </w:r>
      <w:r w:rsidR="0042477D" w:rsidRPr="003D6532">
        <w:rPr>
          <w:lang w:val="en-US"/>
        </w:rPr>
        <w:t xml:space="preserve"> and </w:t>
      </w:r>
      <w:r w:rsidRPr="003D6532">
        <w:rPr>
          <w:lang w:val="en-US"/>
        </w:rPr>
        <w:t xml:space="preserve">Victor </w:t>
      </w:r>
      <w:proofErr w:type="spellStart"/>
      <w:r w:rsidRPr="003D6532">
        <w:rPr>
          <w:lang w:val="en-US"/>
        </w:rPr>
        <w:t>Vakhshtain</w:t>
      </w:r>
      <w:proofErr w:type="spellEnd"/>
      <w:r w:rsidR="0042477D" w:rsidRPr="003D6532">
        <w:rPr>
          <w:lang w:val="en-US"/>
        </w:rPr>
        <w:t>.</w:t>
      </w:r>
      <w:proofErr w:type="gramEnd"/>
      <w:r w:rsidR="0042477D" w:rsidRPr="003D6532">
        <w:rPr>
          <w:lang w:val="en-US"/>
        </w:rPr>
        <w:t xml:space="preserve"> 2006. </w:t>
      </w:r>
      <w:proofErr w:type="spellStart"/>
      <w:r w:rsidRPr="003D6532">
        <w:rPr>
          <w:i/>
          <w:lang w:val="en-US"/>
        </w:rPr>
        <w:t>Dostupnost</w:t>
      </w:r>
      <w:proofErr w:type="spellEnd"/>
      <w:r w:rsidRPr="003D6532">
        <w:rPr>
          <w:i/>
          <w:lang w:val="en-US"/>
        </w:rPr>
        <w:t xml:space="preserve">’ </w:t>
      </w:r>
      <w:proofErr w:type="spellStart"/>
      <w:r w:rsidRPr="003D6532">
        <w:rPr>
          <w:i/>
          <w:lang w:val="en-US"/>
        </w:rPr>
        <w:t>kachestvennogo</w:t>
      </w:r>
      <w:proofErr w:type="spellEnd"/>
      <w:r w:rsidRPr="003D6532">
        <w:rPr>
          <w:i/>
          <w:lang w:val="en-US"/>
        </w:rPr>
        <w:t xml:space="preserve"> </w:t>
      </w:r>
      <w:proofErr w:type="spellStart"/>
      <w:r w:rsidRPr="003D6532">
        <w:rPr>
          <w:i/>
          <w:lang w:val="en-US"/>
        </w:rPr>
        <w:t>srednego</w:t>
      </w:r>
      <w:proofErr w:type="spellEnd"/>
      <w:r w:rsidRPr="003D6532">
        <w:rPr>
          <w:i/>
          <w:lang w:val="en-US"/>
        </w:rPr>
        <w:t xml:space="preserve"> </w:t>
      </w:r>
      <w:proofErr w:type="spellStart"/>
      <w:r w:rsidRPr="003D6532">
        <w:rPr>
          <w:i/>
          <w:lang w:val="en-US"/>
        </w:rPr>
        <w:t>obrazovaniya</w:t>
      </w:r>
      <w:proofErr w:type="spellEnd"/>
      <w:r w:rsidRPr="003D6532">
        <w:rPr>
          <w:i/>
          <w:lang w:val="en-US"/>
        </w:rPr>
        <w:t xml:space="preserve"> v </w:t>
      </w:r>
      <w:proofErr w:type="spellStart"/>
      <w:r w:rsidRPr="003D6532">
        <w:rPr>
          <w:i/>
          <w:lang w:val="en-US"/>
        </w:rPr>
        <w:t>Rossii</w:t>
      </w:r>
      <w:proofErr w:type="spellEnd"/>
      <w:r w:rsidRPr="003D6532">
        <w:rPr>
          <w:i/>
          <w:iCs/>
          <w:lang w:val="en-US"/>
        </w:rPr>
        <w:t xml:space="preserve">: </w:t>
      </w:r>
      <w:proofErr w:type="spellStart"/>
      <w:r w:rsidRPr="003D6532">
        <w:rPr>
          <w:i/>
          <w:iCs/>
          <w:lang w:val="en-US"/>
        </w:rPr>
        <w:t>vozmozhnosti</w:t>
      </w:r>
      <w:proofErr w:type="spellEnd"/>
      <w:r w:rsidRPr="003D6532">
        <w:rPr>
          <w:i/>
          <w:iCs/>
          <w:lang w:val="en-US"/>
        </w:rPr>
        <w:t xml:space="preserve"> i </w:t>
      </w:r>
      <w:proofErr w:type="spellStart"/>
      <w:r w:rsidRPr="003D6532">
        <w:rPr>
          <w:i/>
          <w:iCs/>
          <w:lang w:val="en-US"/>
        </w:rPr>
        <w:t>ogranicheniya</w:t>
      </w:r>
      <w:proofErr w:type="spellEnd"/>
      <w:r w:rsidR="00720D89" w:rsidRPr="003D6532">
        <w:rPr>
          <w:i/>
          <w:iCs/>
          <w:lang w:val="en-US"/>
        </w:rPr>
        <w:t xml:space="preserve"> [Access to Quality Secondary Education in Russia: Possibilities and Limitations]</w:t>
      </w:r>
      <w:r w:rsidR="0042477D" w:rsidRPr="003D6532">
        <w:rPr>
          <w:lang w:val="en-US"/>
        </w:rPr>
        <w:t xml:space="preserve">. </w:t>
      </w:r>
      <w:r w:rsidRPr="003D6532">
        <w:rPr>
          <w:lang w:val="en-US"/>
        </w:rPr>
        <w:t>Moscow</w:t>
      </w:r>
      <w:r w:rsidR="0042477D" w:rsidRPr="003D6532">
        <w:rPr>
          <w:lang w:val="en-US"/>
        </w:rPr>
        <w:t xml:space="preserve">: </w:t>
      </w:r>
      <w:r w:rsidRPr="003D6532">
        <w:rPr>
          <w:lang w:val="en-US"/>
        </w:rPr>
        <w:t>Logos</w:t>
      </w:r>
      <w:r w:rsidR="0042477D" w:rsidRPr="003D6532">
        <w:rPr>
          <w:lang w:val="en-US"/>
        </w:rPr>
        <w:t>.</w:t>
      </w:r>
    </w:p>
    <w:p w14:paraId="02FF232C" w14:textId="62C8A9B9" w:rsidR="00723228" w:rsidRDefault="00B203E6" w:rsidP="00907AB2">
      <w:pPr>
        <w:spacing w:line="360" w:lineRule="auto"/>
        <w:ind w:left="708" w:hangingChars="295" w:hanging="708"/>
        <w:jc w:val="left"/>
        <w:rPr>
          <w:lang w:val="en-US"/>
        </w:rPr>
      </w:pPr>
      <w:proofErr w:type="spellStart"/>
      <w:proofErr w:type="gramStart"/>
      <w:r w:rsidRPr="003D6532">
        <w:rPr>
          <w:lang w:val="en-US"/>
        </w:rPr>
        <w:t>Tyumeneva</w:t>
      </w:r>
      <w:proofErr w:type="spellEnd"/>
      <w:r w:rsidRPr="003D6532">
        <w:rPr>
          <w:lang w:val="en-US"/>
        </w:rPr>
        <w:t xml:space="preserve"> </w:t>
      </w:r>
      <w:proofErr w:type="spellStart"/>
      <w:r w:rsidRPr="003D6532">
        <w:rPr>
          <w:lang w:val="en-US"/>
        </w:rPr>
        <w:t>Yuliya</w:t>
      </w:r>
      <w:proofErr w:type="spellEnd"/>
      <w:r w:rsidR="0042477D" w:rsidRPr="003D6532">
        <w:rPr>
          <w:lang w:val="en-US"/>
        </w:rPr>
        <w:t xml:space="preserve">, </w:t>
      </w:r>
      <w:r w:rsidRPr="003D6532">
        <w:rPr>
          <w:lang w:val="en-US"/>
        </w:rPr>
        <w:t>Igor</w:t>
      </w:r>
      <w:r w:rsidR="0042477D" w:rsidRPr="003D6532">
        <w:rPr>
          <w:lang w:val="en-US"/>
        </w:rPr>
        <w:t xml:space="preserve"> </w:t>
      </w:r>
      <w:proofErr w:type="spellStart"/>
      <w:r w:rsidRPr="003D6532">
        <w:rPr>
          <w:lang w:val="en-US"/>
        </w:rPr>
        <w:t>Val’dman</w:t>
      </w:r>
      <w:proofErr w:type="spellEnd"/>
      <w:r w:rsidR="0042477D" w:rsidRPr="003D6532">
        <w:rPr>
          <w:lang w:val="en-US"/>
        </w:rPr>
        <w:t xml:space="preserve">, and </w:t>
      </w:r>
      <w:r w:rsidRPr="003D6532">
        <w:rPr>
          <w:lang w:val="en-US"/>
        </w:rPr>
        <w:t xml:space="preserve">Martin </w:t>
      </w:r>
      <w:proofErr w:type="spellStart"/>
      <w:r w:rsidRPr="003D6532">
        <w:rPr>
          <w:lang w:val="en-US"/>
        </w:rPr>
        <w:t>Carnoy</w:t>
      </w:r>
      <w:proofErr w:type="spellEnd"/>
      <w:r w:rsidR="0042477D" w:rsidRPr="003D6532">
        <w:rPr>
          <w:lang w:val="en-US"/>
        </w:rPr>
        <w:t>.</w:t>
      </w:r>
      <w:proofErr w:type="gramEnd"/>
      <w:r w:rsidR="0042477D" w:rsidRPr="003D6532">
        <w:rPr>
          <w:lang w:val="en-US"/>
        </w:rPr>
        <w:t xml:space="preserve"> 2014. “</w:t>
      </w:r>
      <w:proofErr w:type="spellStart"/>
      <w:r w:rsidRPr="003D6532">
        <w:rPr>
          <w:lang w:val="en-US"/>
        </w:rPr>
        <w:t>Chto</w:t>
      </w:r>
      <w:proofErr w:type="spellEnd"/>
      <w:r w:rsidRPr="003D6532">
        <w:rPr>
          <w:lang w:val="en-US"/>
        </w:rPr>
        <w:t xml:space="preserve"> </w:t>
      </w:r>
      <w:proofErr w:type="spellStart"/>
      <w:r w:rsidRPr="003D6532">
        <w:rPr>
          <w:lang w:val="en-US"/>
        </w:rPr>
        <w:t>dayut</w:t>
      </w:r>
      <w:proofErr w:type="spellEnd"/>
      <w:r w:rsidRPr="003D6532">
        <w:rPr>
          <w:lang w:val="en-US"/>
        </w:rPr>
        <w:t xml:space="preserve"> </w:t>
      </w:r>
      <w:proofErr w:type="spellStart"/>
      <w:r w:rsidRPr="003D6532">
        <w:rPr>
          <w:lang w:val="en-US"/>
        </w:rPr>
        <w:t>predmetnye</w:t>
      </w:r>
      <w:proofErr w:type="spellEnd"/>
      <w:r w:rsidRPr="003D6532">
        <w:rPr>
          <w:lang w:val="en-US"/>
        </w:rPr>
        <w:t xml:space="preserve"> </w:t>
      </w:r>
      <w:proofErr w:type="spellStart"/>
      <w:r w:rsidRPr="003D6532">
        <w:rPr>
          <w:lang w:val="en-US"/>
        </w:rPr>
        <w:t>znaniya</w:t>
      </w:r>
      <w:proofErr w:type="spellEnd"/>
      <w:r w:rsidRPr="003D6532">
        <w:rPr>
          <w:lang w:val="en-US"/>
        </w:rPr>
        <w:t xml:space="preserve"> </w:t>
      </w:r>
      <w:proofErr w:type="spellStart"/>
      <w:r w:rsidRPr="003D6532">
        <w:rPr>
          <w:lang w:val="en-US"/>
        </w:rPr>
        <w:t>dlya</w:t>
      </w:r>
      <w:proofErr w:type="spellEnd"/>
      <w:r w:rsidRPr="003D6532">
        <w:rPr>
          <w:lang w:val="en-US"/>
        </w:rPr>
        <w:t xml:space="preserve"> </w:t>
      </w:r>
      <w:proofErr w:type="spellStart"/>
      <w:r w:rsidRPr="003D6532">
        <w:rPr>
          <w:lang w:val="en-US"/>
        </w:rPr>
        <w:t>umeniya</w:t>
      </w:r>
      <w:proofErr w:type="spellEnd"/>
      <w:r w:rsidRPr="003D6532">
        <w:rPr>
          <w:lang w:val="en-US"/>
        </w:rPr>
        <w:t xml:space="preserve"> </w:t>
      </w:r>
      <w:proofErr w:type="spellStart"/>
      <w:r w:rsidRPr="003D6532">
        <w:rPr>
          <w:lang w:val="en-US"/>
        </w:rPr>
        <w:t>primenyat</w:t>
      </w:r>
      <w:proofErr w:type="spellEnd"/>
      <w:r w:rsidRPr="003D6532">
        <w:rPr>
          <w:lang w:val="en-US"/>
        </w:rPr>
        <w:t xml:space="preserve">’ </w:t>
      </w:r>
      <w:proofErr w:type="spellStart"/>
      <w:r w:rsidRPr="003D6532">
        <w:rPr>
          <w:lang w:val="en-US"/>
        </w:rPr>
        <w:t>ikh</w:t>
      </w:r>
      <w:proofErr w:type="spellEnd"/>
      <w:r w:rsidRPr="003D6532">
        <w:rPr>
          <w:lang w:val="en-US"/>
        </w:rPr>
        <w:t xml:space="preserve"> v </w:t>
      </w:r>
      <w:proofErr w:type="spellStart"/>
      <w:r w:rsidRPr="003D6532">
        <w:rPr>
          <w:lang w:val="en-US"/>
        </w:rPr>
        <w:t>novom</w:t>
      </w:r>
      <w:proofErr w:type="spellEnd"/>
      <w:r w:rsidRPr="003D6532">
        <w:rPr>
          <w:lang w:val="en-US"/>
        </w:rPr>
        <w:t xml:space="preserve"> </w:t>
      </w:r>
      <w:proofErr w:type="spellStart"/>
      <w:r w:rsidRPr="003D6532">
        <w:rPr>
          <w:lang w:val="en-US"/>
        </w:rPr>
        <w:t>kontekste</w:t>
      </w:r>
      <w:proofErr w:type="spellEnd"/>
      <w:r w:rsidRPr="003D6532">
        <w:rPr>
          <w:lang w:val="en-US"/>
        </w:rPr>
        <w:t xml:space="preserve">. </w:t>
      </w:r>
      <w:proofErr w:type="spellStart"/>
      <w:proofErr w:type="gramStart"/>
      <w:r w:rsidRPr="003D6532">
        <w:rPr>
          <w:lang w:val="en-US"/>
        </w:rPr>
        <w:t>Pervye</w:t>
      </w:r>
      <w:proofErr w:type="spellEnd"/>
      <w:r w:rsidRPr="003D6532">
        <w:rPr>
          <w:lang w:val="en-US"/>
        </w:rPr>
        <w:t xml:space="preserve"> </w:t>
      </w:r>
      <w:proofErr w:type="spellStart"/>
      <w:r w:rsidRPr="003D6532">
        <w:rPr>
          <w:lang w:val="en-US"/>
        </w:rPr>
        <w:t>rezyl’taty</w:t>
      </w:r>
      <w:proofErr w:type="spellEnd"/>
      <w:r w:rsidRPr="003D6532">
        <w:rPr>
          <w:lang w:val="en-US"/>
        </w:rPr>
        <w:t xml:space="preserve"> </w:t>
      </w:r>
      <w:proofErr w:type="spellStart"/>
      <w:r w:rsidRPr="003D6532">
        <w:rPr>
          <w:lang w:val="en-US"/>
        </w:rPr>
        <w:t>sravnitel’nogo</w:t>
      </w:r>
      <w:proofErr w:type="spellEnd"/>
      <w:r w:rsidRPr="003D6532">
        <w:rPr>
          <w:lang w:val="en-US"/>
        </w:rPr>
        <w:t xml:space="preserve"> </w:t>
      </w:r>
      <w:proofErr w:type="spellStart"/>
      <w:r w:rsidRPr="003D6532">
        <w:rPr>
          <w:lang w:val="en-US"/>
        </w:rPr>
        <w:t>analiza</w:t>
      </w:r>
      <w:proofErr w:type="spellEnd"/>
      <w:r w:rsidRPr="003D6532">
        <w:rPr>
          <w:lang w:val="en-US"/>
        </w:rPr>
        <w:t xml:space="preserve"> TIMSS-2011 i PISA-2012</w:t>
      </w:r>
      <w:r w:rsidR="0042477D" w:rsidRPr="003D6532">
        <w:rPr>
          <w:lang w:val="en-US"/>
        </w:rPr>
        <w:t>.</w:t>
      </w:r>
      <w:proofErr w:type="gramEnd"/>
      <w:r w:rsidR="00720D89" w:rsidRPr="003D6532">
        <w:rPr>
          <w:lang w:val="en-US"/>
        </w:rPr>
        <w:t xml:space="preserve"> [What Does Subject Knowledge Give for Its Applying in New </w:t>
      </w:r>
      <w:proofErr w:type="gramStart"/>
      <w:r w:rsidR="00720D89" w:rsidRPr="003D6532">
        <w:rPr>
          <w:lang w:val="en-US"/>
        </w:rPr>
        <w:t>Context.</w:t>
      </w:r>
      <w:proofErr w:type="gramEnd"/>
      <w:r w:rsidR="00720D89" w:rsidRPr="003D6532">
        <w:rPr>
          <w:lang w:val="en-US"/>
        </w:rPr>
        <w:t xml:space="preserve"> The First Results from Studies TIMSS-2011 and PISA</w:t>
      </w:r>
      <w:r w:rsidR="00720D89" w:rsidRPr="003D6532">
        <w:rPr>
          <w:rFonts w:ascii="Cambria Math" w:hAnsi="Cambria Math" w:cs="Cambria Math"/>
          <w:lang w:val="en-US"/>
        </w:rPr>
        <w:t>‑</w:t>
      </w:r>
      <w:r w:rsidR="00720D89" w:rsidRPr="003D6532">
        <w:rPr>
          <w:lang w:val="en-US"/>
        </w:rPr>
        <w:t>2012]</w:t>
      </w:r>
      <w:r w:rsidR="0042477D" w:rsidRPr="003D6532">
        <w:rPr>
          <w:lang w:val="en-US"/>
        </w:rPr>
        <w:t xml:space="preserve">” </w:t>
      </w:r>
      <w:proofErr w:type="spellStart"/>
      <w:r w:rsidRPr="003D6532">
        <w:rPr>
          <w:i/>
          <w:iCs/>
          <w:lang w:val="en-US"/>
        </w:rPr>
        <w:t>Voprosy</w:t>
      </w:r>
      <w:proofErr w:type="spellEnd"/>
      <w:r w:rsidRPr="003D6532">
        <w:rPr>
          <w:i/>
          <w:iCs/>
          <w:lang w:val="en-US"/>
        </w:rPr>
        <w:t xml:space="preserve"> </w:t>
      </w:r>
      <w:proofErr w:type="spellStart"/>
      <w:r w:rsidRPr="003D6532">
        <w:rPr>
          <w:i/>
          <w:iCs/>
          <w:lang w:val="en-US"/>
        </w:rPr>
        <w:t>obrazovaniya</w:t>
      </w:r>
      <w:proofErr w:type="spellEnd"/>
      <w:r w:rsidRPr="003D6532">
        <w:rPr>
          <w:i/>
          <w:iCs/>
          <w:lang w:val="en-US"/>
        </w:rPr>
        <w:t xml:space="preserve"> [Educational Studies]</w:t>
      </w:r>
      <w:r w:rsidR="0042477D" w:rsidRPr="003D6532">
        <w:rPr>
          <w:lang w:val="en-US"/>
        </w:rPr>
        <w:t xml:space="preserve"> (1):8–24.</w:t>
      </w:r>
    </w:p>
    <w:p w14:paraId="0A87D624" w14:textId="77777777" w:rsidR="00300828" w:rsidRDefault="00300828" w:rsidP="00907AB2">
      <w:pPr>
        <w:spacing w:line="360" w:lineRule="auto"/>
        <w:ind w:left="708" w:hangingChars="295" w:hanging="708"/>
        <w:jc w:val="left"/>
        <w:rPr>
          <w:lang w:val="en-US"/>
        </w:rPr>
      </w:pPr>
    </w:p>
    <w:p w14:paraId="182EE3D2" w14:textId="59E6A05E" w:rsidR="00300828" w:rsidRDefault="00300828">
      <w:pPr>
        <w:spacing w:after="200" w:line="276" w:lineRule="auto"/>
        <w:ind w:firstLine="0"/>
        <w:jc w:val="left"/>
        <w:rPr>
          <w:lang w:val="en-US"/>
        </w:rPr>
      </w:pPr>
      <w:r>
        <w:rPr>
          <w:lang w:val="en-US"/>
        </w:rPr>
        <w:br w:type="page"/>
      </w:r>
    </w:p>
    <w:p w14:paraId="7FA30F03" w14:textId="6B2EFE82" w:rsidR="00300828" w:rsidRDefault="00300828" w:rsidP="00300828">
      <w:pPr>
        <w:pStyle w:val="Heading1"/>
        <w:rPr>
          <w:lang w:val="en-US"/>
        </w:rPr>
      </w:pPr>
      <w:r>
        <w:rPr>
          <w:lang w:val="en-US"/>
        </w:rPr>
        <w:lastRenderedPageBreak/>
        <w:t>Figures</w:t>
      </w:r>
    </w:p>
    <w:p w14:paraId="6E77C19B" w14:textId="77777777" w:rsidR="002A3AAC" w:rsidRDefault="002A3AAC" w:rsidP="00CB0003">
      <w:pPr>
        <w:spacing w:line="240" w:lineRule="auto"/>
        <w:ind w:firstLine="0"/>
        <w:jc w:val="left"/>
        <w:rPr>
          <w:b/>
          <w:lang w:val="en-US"/>
        </w:rPr>
      </w:pPr>
      <w:proofErr w:type="gramStart"/>
      <w:r w:rsidRPr="00173854">
        <w:rPr>
          <w:b/>
          <w:lang w:val="en-US"/>
        </w:rPr>
        <w:t>Figure 1.</w:t>
      </w:r>
      <w:proofErr w:type="gramEnd"/>
      <w:r w:rsidRPr="00173854">
        <w:rPr>
          <w:b/>
          <w:lang w:val="en-US"/>
        </w:rPr>
        <w:t xml:space="preserve"> The structure of enrolment in </w:t>
      </w:r>
      <w:r>
        <w:rPr>
          <w:b/>
          <w:lang w:val="en-US"/>
        </w:rPr>
        <w:t>vocational and higher</w:t>
      </w:r>
      <w:r w:rsidRPr="00173854">
        <w:rPr>
          <w:b/>
          <w:lang w:val="en-US"/>
        </w:rPr>
        <w:t xml:space="preserve"> educati</w:t>
      </w:r>
      <w:r>
        <w:rPr>
          <w:b/>
          <w:lang w:val="en-US"/>
        </w:rPr>
        <w:t>on in Russia and the USE reform</w:t>
      </w:r>
    </w:p>
    <w:p w14:paraId="034B4AED" w14:textId="77777777" w:rsidR="002A3AAC" w:rsidRPr="003F109A" w:rsidRDefault="002A3AAC" w:rsidP="002A3AAC">
      <w:pPr>
        <w:spacing w:line="240" w:lineRule="auto"/>
        <w:ind w:firstLine="0"/>
        <w:rPr>
          <w:b/>
          <w:lang w:val="en-US"/>
        </w:rPr>
      </w:pPr>
    </w:p>
    <w:p w14:paraId="7A86240F" w14:textId="77777777" w:rsidR="002A3AAC" w:rsidRDefault="002A3AAC" w:rsidP="002A3AAC">
      <w:pPr>
        <w:ind w:firstLine="0"/>
        <w:jc w:val="left"/>
        <w:rPr>
          <w:lang w:val="en-US"/>
        </w:rPr>
      </w:pPr>
      <w:r>
        <w:rPr>
          <w:noProof/>
          <w:lang w:eastAsia="ru-RU"/>
        </w:rPr>
        <w:drawing>
          <wp:inline distT="0" distB="0" distL="0" distR="0" wp14:anchorId="5019AEE9" wp14:editId="04580B0C">
            <wp:extent cx="5130800" cy="3590064"/>
            <wp:effectExtent l="0" t="0" r="0" b="0"/>
            <wp:docPr id="3" name="Picture 3" descr="C:\Users\Gordey\Dropbox\bypass_article\data_and_analysis\graphs\enrolment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ey\Dropbox\bypass_article\data_and_analysis\graphs\enrolment_da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0800" cy="3590064"/>
                    </a:xfrm>
                    <a:prstGeom prst="rect">
                      <a:avLst/>
                    </a:prstGeom>
                    <a:noFill/>
                    <a:ln>
                      <a:noFill/>
                    </a:ln>
                  </pic:spPr>
                </pic:pic>
              </a:graphicData>
            </a:graphic>
          </wp:inline>
        </w:drawing>
      </w:r>
    </w:p>
    <w:p w14:paraId="4C2F27EA" w14:textId="77777777" w:rsidR="002A3AAC" w:rsidRPr="00042AC5" w:rsidRDefault="002A3AAC" w:rsidP="002A3AAC">
      <w:pPr>
        <w:spacing w:line="240" w:lineRule="auto"/>
        <w:ind w:firstLine="0"/>
        <w:jc w:val="left"/>
        <w:rPr>
          <w:sz w:val="20"/>
          <w:szCs w:val="20"/>
          <w:lang w:val="en-US"/>
        </w:rPr>
      </w:pPr>
      <w:r>
        <w:rPr>
          <w:i/>
          <w:sz w:val="20"/>
          <w:szCs w:val="20"/>
          <w:lang w:val="en-US"/>
        </w:rPr>
        <w:t xml:space="preserve">Note: </w:t>
      </w:r>
      <w:r w:rsidRPr="00042AC5">
        <w:rPr>
          <w:sz w:val="20"/>
          <w:szCs w:val="20"/>
          <w:lang w:val="en-US"/>
        </w:rPr>
        <w:t>Proportions calculated as the total number of students enrolled in a given educational program in a given year divided by the total number of students enrolled in all of the three programs in that same year.</w:t>
      </w:r>
      <w:r>
        <w:rPr>
          <w:sz w:val="20"/>
          <w:szCs w:val="20"/>
          <w:lang w:val="en-US"/>
        </w:rPr>
        <w:t xml:space="preserve"> </w:t>
      </w:r>
      <w:r w:rsidRPr="00042AC5">
        <w:rPr>
          <w:i/>
          <w:sz w:val="20"/>
          <w:szCs w:val="20"/>
          <w:lang w:val="en-US"/>
        </w:rPr>
        <w:t>Source:</w:t>
      </w:r>
      <w:r w:rsidRPr="00042AC5">
        <w:rPr>
          <w:sz w:val="20"/>
          <w:szCs w:val="20"/>
          <w:lang w:val="en-US"/>
        </w:rPr>
        <w:t xml:space="preserve"> Russia’s Federal State Statistics Service. </w:t>
      </w:r>
    </w:p>
    <w:p w14:paraId="4A28540B" w14:textId="77777777" w:rsidR="00BD3E9A" w:rsidRDefault="00BD3E9A" w:rsidP="002A3AAC">
      <w:pPr>
        <w:rPr>
          <w:lang w:val="en-US"/>
        </w:rPr>
      </w:pPr>
    </w:p>
    <w:p w14:paraId="4C53E087" w14:textId="77777777" w:rsidR="00BD3E9A" w:rsidRDefault="00BD3E9A">
      <w:pPr>
        <w:spacing w:after="200" w:line="276" w:lineRule="auto"/>
        <w:ind w:firstLine="0"/>
        <w:jc w:val="left"/>
        <w:rPr>
          <w:b/>
          <w:lang w:val="en-US"/>
        </w:rPr>
      </w:pPr>
      <w:r>
        <w:rPr>
          <w:b/>
          <w:lang w:val="en-US"/>
        </w:rPr>
        <w:br w:type="page"/>
      </w:r>
    </w:p>
    <w:p w14:paraId="5F57BAC8" w14:textId="00C2CD8A" w:rsidR="00BD3E9A" w:rsidRDefault="00BD3E9A" w:rsidP="00BD3E9A">
      <w:pPr>
        <w:spacing w:line="240" w:lineRule="auto"/>
        <w:ind w:firstLine="0"/>
        <w:jc w:val="left"/>
        <w:rPr>
          <w:b/>
          <w:lang w:val="en-US"/>
        </w:rPr>
      </w:pPr>
      <w:proofErr w:type="gramStart"/>
      <w:r>
        <w:rPr>
          <w:b/>
          <w:lang w:val="en-US"/>
        </w:rPr>
        <w:lastRenderedPageBreak/>
        <w:t>Figure 2</w:t>
      </w:r>
      <w:r w:rsidRPr="00173854">
        <w:rPr>
          <w:b/>
          <w:lang w:val="en-US"/>
        </w:rPr>
        <w:t>.</w:t>
      </w:r>
      <w:proofErr w:type="gramEnd"/>
      <w:r w:rsidRPr="00173854">
        <w:rPr>
          <w:b/>
          <w:lang w:val="en-US"/>
        </w:rPr>
        <w:t xml:space="preserve"> </w:t>
      </w:r>
      <w:r>
        <w:rPr>
          <w:b/>
          <w:lang w:val="en-US"/>
        </w:rPr>
        <w:t>Predicted probabilities of real educational pathways as functions of scholastic ability and social background</w:t>
      </w:r>
    </w:p>
    <w:p w14:paraId="43A585EA" w14:textId="77777777" w:rsidR="00BD3E9A" w:rsidRDefault="00BD3E9A" w:rsidP="00BD3E9A">
      <w:pPr>
        <w:spacing w:line="240" w:lineRule="auto"/>
        <w:ind w:firstLine="0"/>
        <w:jc w:val="left"/>
        <w:rPr>
          <w:b/>
          <w:lang w:val="en-US"/>
        </w:rPr>
      </w:pPr>
    </w:p>
    <w:p w14:paraId="400F3421" w14:textId="77777777" w:rsidR="00BD3E9A" w:rsidRPr="0089088D" w:rsidRDefault="00BD3E9A" w:rsidP="00BD3E9A">
      <w:pPr>
        <w:ind w:firstLine="0"/>
        <w:jc w:val="left"/>
        <w:rPr>
          <w:lang w:val="en-US"/>
        </w:rPr>
      </w:pPr>
      <w:r>
        <w:rPr>
          <w:noProof/>
          <w:lang w:eastAsia="ru-RU"/>
        </w:rPr>
        <w:drawing>
          <wp:inline distT="0" distB="0" distL="0" distR="0" wp14:anchorId="2961A9F5" wp14:editId="22C1D2DB">
            <wp:extent cx="5130000" cy="7333200"/>
            <wp:effectExtent l="0" t="0" r="0" b="1270"/>
            <wp:docPr id="1" name="Picture 1" descr="C:\Users\Gordey\Dropbox\bypass_article\data_and_analysis\graph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ey\Dropbox\bypass_article\data_and_analysis\graphs\Figur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0000" cy="7333200"/>
                    </a:xfrm>
                    <a:prstGeom prst="rect">
                      <a:avLst/>
                    </a:prstGeom>
                    <a:noFill/>
                    <a:ln>
                      <a:noFill/>
                    </a:ln>
                  </pic:spPr>
                </pic:pic>
              </a:graphicData>
            </a:graphic>
          </wp:inline>
        </w:drawing>
      </w:r>
    </w:p>
    <w:p w14:paraId="668C2483" w14:textId="77777777" w:rsidR="00BD3E9A" w:rsidRDefault="00BD3E9A" w:rsidP="00BD3E9A">
      <w:pPr>
        <w:spacing w:line="240" w:lineRule="auto"/>
        <w:ind w:firstLine="0"/>
        <w:jc w:val="left"/>
        <w:rPr>
          <w:sz w:val="20"/>
          <w:szCs w:val="20"/>
          <w:lang w:val="en-US"/>
        </w:rPr>
      </w:pPr>
      <w:r>
        <w:rPr>
          <w:i/>
          <w:sz w:val="20"/>
          <w:szCs w:val="20"/>
          <w:lang w:val="en-US"/>
        </w:rPr>
        <w:t>Notes</w:t>
      </w:r>
      <w:r w:rsidRPr="00042AC5">
        <w:rPr>
          <w:i/>
          <w:sz w:val="20"/>
          <w:szCs w:val="20"/>
          <w:lang w:val="en-US"/>
        </w:rPr>
        <w:t>:</w:t>
      </w:r>
      <w:r w:rsidRPr="00042AC5">
        <w:rPr>
          <w:sz w:val="20"/>
          <w:szCs w:val="20"/>
          <w:lang w:val="en-US"/>
        </w:rPr>
        <w:t xml:space="preserve"> </w:t>
      </w:r>
      <w:r w:rsidRPr="00F24B91">
        <w:rPr>
          <w:sz w:val="20"/>
          <w:szCs w:val="20"/>
          <w:lang w:val="en-US"/>
        </w:rPr>
        <w:t>Solid lines</w:t>
      </w:r>
      <w:r w:rsidRPr="00760867">
        <w:rPr>
          <w:sz w:val="20"/>
          <w:szCs w:val="20"/>
          <w:lang w:val="en-US"/>
        </w:rPr>
        <w:t xml:space="preserve"> – higher social background; </w:t>
      </w:r>
      <w:r w:rsidRPr="00F24B91">
        <w:rPr>
          <w:sz w:val="20"/>
          <w:szCs w:val="20"/>
          <w:lang w:val="en-US"/>
        </w:rPr>
        <w:t>dashed lines</w:t>
      </w:r>
      <w:r w:rsidRPr="00760867">
        <w:rPr>
          <w:sz w:val="20"/>
          <w:szCs w:val="20"/>
          <w:lang w:val="en-US"/>
        </w:rPr>
        <w:t xml:space="preserve"> – lower social background. </w:t>
      </w:r>
      <w:proofErr w:type="gramStart"/>
      <w:r w:rsidRPr="00F24B91">
        <w:rPr>
          <w:sz w:val="20"/>
          <w:szCs w:val="20"/>
          <w:lang w:val="en-US"/>
        </w:rPr>
        <w:t>Horizontal dotted lines</w:t>
      </w:r>
      <w:r w:rsidRPr="00760867">
        <w:rPr>
          <w:sz w:val="20"/>
          <w:szCs w:val="20"/>
          <w:lang w:val="en-US"/>
        </w:rPr>
        <w:t xml:space="preserve"> – unconditional (baseline) probabilities of corresponding outcomes.</w:t>
      </w:r>
      <w:proofErr w:type="gramEnd"/>
      <w:r>
        <w:rPr>
          <w:sz w:val="20"/>
          <w:szCs w:val="20"/>
          <w:lang w:val="en-US"/>
        </w:rPr>
        <w:t xml:space="preserve"> </w:t>
      </w:r>
      <w:r w:rsidRPr="00F24B91">
        <w:rPr>
          <w:sz w:val="20"/>
          <w:szCs w:val="20"/>
          <w:lang w:val="en-US"/>
        </w:rPr>
        <w:t>Vertical</w:t>
      </w:r>
      <w:r w:rsidRPr="00760867">
        <w:rPr>
          <w:sz w:val="20"/>
          <w:szCs w:val="20"/>
          <w:lang w:val="en-US"/>
        </w:rPr>
        <w:t xml:space="preserve"> spreads denote 95% confidence intervals.</w:t>
      </w:r>
      <w:r>
        <w:rPr>
          <w:sz w:val="20"/>
          <w:szCs w:val="20"/>
          <w:lang w:val="en-US"/>
        </w:rPr>
        <w:t xml:space="preserve"> Model estimates are available </w:t>
      </w:r>
      <w:r w:rsidRPr="00760867">
        <w:rPr>
          <w:sz w:val="20"/>
          <w:szCs w:val="20"/>
          <w:lang w:val="en-US"/>
        </w:rPr>
        <w:t>in Table A.1</w:t>
      </w:r>
      <w:r>
        <w:rPr>
          <w:sz w:val="20"/>
          <w:szCs w:val="20"/>
          <w:lang w:val="en-US"/>
        </w:rPr>
        <w:t xml:space="preserve"> in Appendix</w:t>
      </w:r>
      <w:r w:rsidRPr="00760867">
        <w:rPr>
          <w:sz w:val="20"/>
          <w:szCs w:val="20"/>
          <w:lang w:val="en-US"/>
        </w:rPr>
        <w:t>.</w:t>
      </w:r>
      <w:r>
        <w:rPr>
          <w:i/>
          <w:sz w:val="20"/>
          <w:szCs w:val="20"/>
          <w:lang w:val="en-US"/>
        </w:rPr>
        <w:t xml:space="preserve"> Source: </w:t>
      </w:r>
      <w:proofErr w:type="spellStart"/>
      <w:r>
        <w:rPr>
          <w:sz w:val="20"/>
          <w:szCs w:val="20"/>
          <w:lang w:val="en-US"/>
        </w:rPr>
        <w:t>TrEC</w:t>
      </w:r>
      <w:proofErr w:type="spellEnd"/>
      <w:r>
        <w:rPr>
          <w:sz w:val="20"/>
          <w:szCs w:val="20"/>
          <w:lang w:val="en-US"/>
        </w:rPr>
        <w:t>; own calculations.</w:t>
      </w:r>
    </w:p>
    <w:p w14:paraId="613A3D7D" w14:textId="77777777" w:rsidR="00C071BD" w:rsidRDefault="00C071BD">
      <w:pPr>
        <w:spacing w:after="200" w:line="276" w:lineRule="auto"/>
        <w:ind w:firstLine="0"/>
        <w:jc w:val="left"/>
        <w:rPr>
          <w:b/>
          <w:lang w:val="en-US"/>
        </w:rPr>
      </w:pPr>
      <w:r>
        <w:rPr>
          <w:b/>
          <w:lang w:val="en-US"/>
        </w:rPr>
        <w:br w:type="page"/>
      </w:r>
    </w:p>
    <w:p w14:paraId="67FA2974" w14:textId="2E467D1B" w:rsidR="00C071BD" w:rsidRDefault="00C071BD" w:rsidP="00C071BD">
      <w:pPr>
        <w:spacing w:line="240" w:lineRule="auto"/>
        <w:ind w:firstLine="0"/>
        <w:jc w:val="left"/>
        <w:rPr>
          <w:b/>
          <w:lang w:val="en-US"/>
        </w:rPr>
      </w:pPr>
      <w:proofErr w:type="gramStart"/>
      <w:r>
        <w:rPr>
          <w:b/>
          <w:lang w:val="en-US"/>
        </w:rPr>
        <w:lastRenderedPageBreak/>
        <w:t>Figure 3</w:t>
      </w:r>
      <w:r w:rsidRPr="00173854">
        <w:rPr>
          <w:b/>
          <w:lang w:val="en-US"/>
        </w:rPr>
        <w:t>.</w:t>
      </w:r>
      <w:proofErr w:type="gramEnd"/>
      <w:r w:rsidRPr="00173854">
        <w:rPr>
          <w:b/>
          <w:lang w:val="en-US"/>
        </w:rPr>
        <w:t xml:space="preserve"> </w:t>
      </w:r>
      <w:r>
        <w:rPr>
          <w:b/>
          <w:lang w:val="en-US"/>
        </w:rPr>
        <w:t>Predicted probabilities of educational outcomes as functions of scholastic ability and social background</w:t>
      </w:r>
    </w:p>
    <w:p w14:paraId="03153A4F" w14:textId="77777777" w:rsidR="00C071BD" w:rsidRDefault="00C071BD" w:rsidP="00C071BD">
      <w:pPr>
        <w:spacing w:line="240" w:lineRule="auto"/>
        <w:ind w:firstLine="0"/>
        <w:jc w:val="left"/>
        <w:rPr>
          <w:b/>
          <w:lang w:val="en-US"/>
        </w:rPr>
      </w:pPr>
    </w:p>
    <w:p w14:paraId="606AA324" w14:textId="77777777" w:rsidR="00C071BD" w:rsidRPr="003863B6" w:rsidRDefault="00C071BD" w:rsidP="00C071BD">
      <w:pPr>
        <w:ind w:firstLine="0"/>
        <w:jc w:val="left"/>
        <w:rPr>
          <w:lang w:val="en-US"/>
        </w:rPr>
      </w:pPr>
      <w:r>
        <w:rPr>
          <w:noProof/>
          <w:lang w:eastAsia="ru-RU"/>
        </w:rPr>
        <w:drawing>
          <wp:inline distT="0" distB="0" distL="0" distR="0" wp14:anchorId="0D880BB6" wp14:editId="3736040F">
            <wp:extent cx="4500000" cy="7502400"/>
            <wp:effectExtent l="0" t="0" r="0" b="3810"/>
            <wp:docPr id="2" name="Picture 2" descr="C:\Users\Gordey\Dropbox\bypass_article\data_and_analysis\graph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ey\Dropbox\bypass_article\data_and_analysis\graphs\Figur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7502400"/>
                    </a:xfrm>
                    <a:prstGeom prst="rect">
                      <a:avLst/>
                    </a:prstGeom>
                    <a:noFill/>
                    <a:ln>
                      <a:noFill/>
                    </a:ln>
                  </pic:spPr>
                </pic:pic>
              </a:graphicData>
            </a:graphic>
          </wp:inline>
        </w:drawing>
      </w:r>
    </w:p>
    <w:p w14:paraId="34FDF40B" w14:textId="77777777" w:rsidR="00C071BD" w:rsidRPr="00635061" w:rsidRDefault="00C071BD" w:rsidP="00C071BD">
      <w:pPr>
        <w:spacing w:line="240" w:lineRule="auto"/>
        <w:ind w:firstLine="0"/>
        <w:jc w:val="left"/>
        <w:rPr>
          <w:lang w:val="en-US"/>
        </w:rPr>
      </w:pPr>
      <w:r>
        <w:rPr>
          <w:i/>
          <w:sz w:val="20"/>
          <w:szCs w:val="20"/>
          <w:lang w:val="en-US"/>
        </w:rPr>
        <w:t>Notes</w:t>
      </w:r>
      <w:r w:rsidRPr="00042AC5">
        <w:rPr>
          <w:i/>
          <w:sz w:val="20"/>
          <w:szCs w:val="20"/>
          <w:lang w:val="en-US"/>
        </w:rPr>
        <w:t>:</w:t>
      </w:r>
      <w:r w:rsidRPr="00042AC5">
        <w:rPr>
          <w:sz w:val="20"/>
          <w:szCs w:val="20"/>
          <w:lang w:val="en-US"/>
        </w:rPr>
        <w:t xml:space="preserve"> </w:t>
      </w:r>
      <w:r w:rsidRPr="00226F9E">
        <w:rPr>
          <w:sz w:val="20"/>
          <w:szCs w:val="20"/>
          <w:lang w:val="en-US"/>
        </w:rPr>
        <w:t>Solid lines</w:t>
      </w:r>
      <w:r w:rsidRPr="0014328A">
        <w:rPr>
          <w:sz w:val="20"/>
          <w:szCs w:val="20"/>
          <w:lang w:val="en-US"/>
        </w:rPr>
        <w:t xml:space="preserve"> – higher social background; </w:t>
      </w:r>
      <w:r w:rsidRPr="00226F9E">
        <w:rPr>
          <w:sz w:val="20"/>
          <w:szCs w:val="20"/>
          <w:lang w:val="en-US"/>
        </w:rPr>
        <w:t>dashed lines</w:t>
      </w:r>
      <w:r w:rsidRPr="0014328A">
        <w:rPr>
          <w:sz w:val="20"/>
          <w:szCs w:val="20"/>
          <w:lang w:val="en-US"/>
        </w:rPr>
        <w:t xml:space="preserve"> – lower social background. </w:t>
      </w:r>
      <w:proofErr w:type="gramStart"/>
      <w:r w:rsidRPr="00226F9E">
        <w:rPr>
          <w:sz w:val="20"/>
          <w:szCs w:val="20"/>
          <w:lang w:val="en-US"/>
        </w:rPr>
        <w:t>Horizontal dotted lines</w:t>
      </w:r>
      <w:r w:rsidRPr="0014328A">
        <w:rPr>
          <w:sz w:val="20"/>
          <w:szCs w:val="20"/>
          <w:lang w:val="en-US"/>
        </w:rPr>
        <w:t xml:space="preserve"> – unconditional (baseline) probabilities of corresponding outcomes.</w:t>
      </w:r>
      <w:proofErr w:type="gramEnd"/>
      <w:r>
        <w:rPr>
          <w:sz w:val="20"/>
          <w:szCs w:val="20"/>
          <w:lang w:val="en-US"/>
        </w:rPr>
        <w:t xml:space="preserve"> </w:t>
      </w:r>
      <w:r w:rsidRPr="00226F9E">
        <w:rPr>
          <w:sz w:val="20"/>
          <w:szCs w:val="20"/>
          <w:lang w:val="en-US"/>
        </w:rPr>
        <w:t>Vertical</w:t>
      </w:r>
      <w:r w:rsidRPr="0014328A">
        <w:rPr>
          <w:sz w:val="20"/>
          <w:szCs w:val="20"/>
          <w:lang w:val="en-US"/>
        </w:rPr>
        <w:t xml:space="preserve"> spreads denote 95% confidence intervals.</w:t>
      </w:r>
      <w:r>
        <w:rPr>
          <w:sz w:val="20"/>
          <w:szCs w:val="20"/>
          <w:lang w:val="en-US"/>
        </w:rPr>
        <w:t xml:space="preserve"> Model estimates are available </w:t>
      </w:r>
      <w:r w:rsidRPr="00760867">
        <w:rPr>
          <w:sz w:val="20"/>
          <w:szCs w:val="20"/>
          <w:lang w:val="en-US"/>
        </w:rPr>
        <w:t>in Table A.</w:t>
      </w:r>
      <w:r>
        <w:rPr>
          <w:sz w:val="20"/>
          <w:szCs w:val="20"/>
          <w:lang w:val="en-US"/>
        </w:rPr>
        <w:t>2 (</w:t>
      </w:r>
      <w:r w:rsidRPr="0014328A">
        <w:rPr>
          <w:sz w:val="20"/>
          <w:szCs w:val="20"/>
          <w:lang w:val="en-US"/>
        </w:rPr>
        <w:t>left side graphs</w:t>
      </w:r>
      <w:r>
        <w:rPr>
          <w:sz w:val="20"/>
          <w:szCs w:val="20"/>
          <w:lang w:val="en-US"/>
        </w:rPr>
        <w:t>) and Table A.4 (</w:t>
      </w:r>
      <w:r w:rsidRPr="0014328A">
        <w:rPr>
          <w:sz w:val="20"/>
          <w:szCs w:val="20"/>
          <w:lang w:val="en-US"/>
        </w:rPr>
        <w:t>right side graphs</w:t>
      </w:r>
      <w:r>
        <w:rPr>
          <w:sz w:val="20"/>
          <w:szCs w:val="20"/>
          <w:lang w:val="en-US"/>
        </w:rPr>
        <w:t>) in Appendix</w:t>
      </w:r>
      <w:r w:rsidRPr="00760867">
        <w:rPr>
          <w:sz w:val="20"/>
          <w:szCs w:val="20"/>
          <w:lang w:val="en-US"/>
        </w:rPr>
        <w:t>.</w:t>
      </w:r>
      <w:r>
        <w:rPr>
          <w:sz w:val="20"/>
          <w:szCs w:val="20"/>
          <w:lang w:val="en-US"/>
        </w:rPr>
        <w:t xml:space="preserve"> </w:t>
      </w:r>
      <w:r>
        <w:rPr>
          <w:i/>
          <w:sz w:val="20"/>
          <w:szCs w:val="20"/>
          <w:lang w:val="en-US"/>
        </w:rPr>
        <w:t xml:space="preserve">Source: </w:t>
      </w:r>
      <w:proofErr w:type="spellStart"/>
      <w:r>
        <w:rPr>
          <w:sz w:val="20"/>
          <w:szCs w:val="20"/>
          <w:lang w:val="en-US"/>
        </w:rPr>
        <w:t>TrEC</w:t>
      </w:r>
      <w:proofErr w:type="spellEnd"/>
      <w:r>
        <w:rPr>
          <w:sz w:val="20"/>
          <w:szCs w:val="20"/>
          <w:lang w:val="en-US"/>
        </w:rPr>
        <w:t>; own calculations.</w:t>
      </w:r>
    </w:p>
    <w:p w14:paraId="1080E42B" w14:textId="77777777" w:rsidR="00F829BE" w:rsidRPr="003F109A" w:rsidRDefault="00F829BE" w:rsidP="00F829BE">
      <w:pPr>
        <w:spacing w:line="240" w:lineRule="auto"/>
        <w:ind w:firstLine="0"/>
        <w:jc w:val="left"/>
        <w:rPr>
          <w:b/>
          <w:lang w:val="en-US"/>
        </w:rPr>
      </w:pPr>
      <w:proofErr w:type="gramStart"/>
      <w:r>
        <w:rPr>
          <w:b/>
          <w:lang w:val="en-US"/>
        </w:rPr>
        <w:lastRenderedPageBreak/>
        <w:t>Figure 4</w:t>
      </w:r>
      <w:r w:rsidRPr="00173854">
        <w:rPr>
          <w:b/>
          <w:lang w:val="en-US"/>
        </w:rPr>
        <w:t>.</w:t>
      </w:r>
      <w:proofErr w:type="gramEnd"/>
      <w:r w:rsidRPr="00173854">
        <w:rPr>
          <w:b/>
          <w:lang w:val="en-US"/>
        </w:rPr>
        <w:t xml:space="preserve"> </w:t>
      </w:r>
      <w:r>
        <w:rPr>
          <w:b/>
          <w:lang w:val="en-US"/>
        </w:rPr>
        <w:t>Predicted probabilities of real educational pathways as functions of scholastic ability and social background and their interaction</w:t>
      </w:r>
    </w:p>
    <w:p w14:paraId="3BBE066F" w14:textId="77777777" w:rsidR="00F829BE" w:rsidRDefault="00F829BE" w:rsidP="00F829BE">
      <w:pPr>
        <w:spacing w:line="240" w:lineRule="auto"/>
        <w:ind w:firstLine="0"/>
        <w:jc w:val="left"/>
        <w:rPr>
          <w:lang w:val="en-US"/>
        </w:rPr>
      </w:pPr>
    </w:p>
    <w:p w14:paraId="0409AEBD" w14:textId="77777777" w:rsidR="00F829BE" w:rsidRDefault="00F829BE" w:rsidP="00F829BE">
      <w:pPr>
        <w:spacing w:line="240" w:lineRule="auto"/>
        <w:ind w:firstLine="0"/>
        <w:jc w:val="left"/>
        <w:rPr>
          <w:lang w:val="en-US"/>
        </w:rPr>
      </w:pPr>
      <w:r>
        <w:rPr>
          <w:noProof/>
          <w:lang w:eastAsia="ru-RU"/>
        </w:rPr>
        <w:drawing>
          <wp:inline distT="0" distB="0" distL="0" distR="0" wp14:anchorId="2E428980" wp14:editId="49A1BF8D">
            <wp:extent cx="5130800" cy="7331343"/>
            <wp:effectExtent l="0" t="0" r="0" b="3175"/>
            <wp:docPr id="4" name="Picture 4" descr="C:\Users\Gordey\Dropbox\bypass_article\data_and_analysis\graphs\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ey\Dropbox\bypass_article\data_and_analysis\graphs\Figur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0800" cy="7331343"/>
                    </a:xfrm>
                    <a:prstGeom prst="rect">
                      <a:avLst/>
                    </a:prstGeom>
                    <a:noFill/>
                    <a:ln>
                      <a:noFill/>
                    </a:ln>
                  </pic:spPr>
                </pic:pic>
              </a:graphicData>
            </a:graphic>
          </wp:inline>
        </w:drawing>
      </w:r>
    </w:p>
    <w:p w14:paraId="0281370B" w14:textId="77777777" w:rsidR="00F829BE" w:rsidRDefault="00F829BE" w:rsidP="00F829BE">
      <w:pPr>
        <w:spacing w:line="240" w:lineRule="auto"/>
        <w:ind w:firstLine="0"/>
        <w:jc w:val="left"/>
        <w:rPr>
          <w:lang w:val="en-US"/>
        </w:rPr>
      </w:pPr>
    </w:p>
    <w:p w14:paraId="3229652F" w14:textId="77777777" w:rsidR="00F829BE" w:rsidRPr="000756D9" w:rsidRDefault="00F829BE" w:rsidP="00F829BE">
      <w:pPr>
        <w:spacing w:line="240" w:lineRule="auto"/>
        <w:ind w:firstLine="0"/>
        <w:jc w:val="left"/>
        <w:rPr>
          <w:sz w:val="20"/>
          <w:szCs w:val="20"/>
          <w:lang w:val="en-US"/>
        </w:rPr>
      </w:pPr>
      <w:r>
        <w:rPr>
          <w:i/>
          <w:sz w:val="20"/>
          <w:szCs w:val="20"/>
          <w:lang w:val="en-US"/>
        </w:rPr>
        <w:t>Notes</w:t>
      </w:r>
      <w:r w:rsidRPr="00042AC5">
        <w:rPr>
          <w:i/>
          <w:sz w:val="20"/>
          <w:szCs w:val="20"/>
          <w:lang w:val="en-US"/>
        </w:rPr>
        <w:t>:</w:t>
      </w:r>
      <w:r w:rsidRPr="00042AC5">
        <w:rPr>
          <w:sz w:val="20"/>
          <w:szCs w:val="20"/>
          <w:lang w:val="en-US"/>
        </w:rPr>
        <w:t xml:space="preserve"> </w:t>
      </w:r>
      <w:r w:rsidRPr="00A20DAF">
        <w:rPr>
          <w:sz w:val="20"/>
          <w:szCs w:val="20"/>
          <w:lang w:val="en-US"/>
        </w:rPr>
        <w:t>Solid lines</w:t>
      </w:r>
      <w:r w:rsidRPr="000756D9">
        <w:rPr>
          <w:sz w:val="20"/>
          <w:szCs w:val="20"/>
          <w:lang w:val="en-US"/>
        </w:rPr>
        <w:t xml:space="preserve"> – higher social background; </w:t>
      </w:r>
      <w:r w:rsidRPr="00A20DAF">
        <w:rPr>
          <w:sz w:val="20"/>
          <w:szCs w:val="20"/>
          <w:lang w:val="en-US"/>
        </w:rPr>
        <w:t>dashed lines</w:t>
      </w:r>
      <w:r w:rsidRPr="000756D9">
        <w:rPr>
          <w:sz w:val="20"/>
          <w:szCs w:val="20"/>
          <w:lang w:val="en-US"/>
        </w:rPr>
        <w:t xml:space="preserve"> – lower social background. </w:t>
      </w:r>
      <w:proofErr w:type="gramStart"/>
      <w:r w:rsidRPr="00A20DAF">
        <w:rPr>
          <w:sz w:val="20"/>
          <w:szCs w:val="20"/>
          <w:lang w:val="en-US"/>
        </w:rPr>
        <w:t>Horizontal dotted lines</w:t>
      </w:r>
      <w:r w:rsidRPr="000756D9">
        <w:rPr>
          <w:sz w:val="20"/>
          <w:szCs w:val="20"/>
          <w:lang w:val="en-US"/>
        </w:rPr>
        <w:t xml:space="preserve"> – unconditional (baseline) probabilities of corresponding outcomes.</w:t>
      </w:r>
      <w:proofErr w:type="gramEnd"/>
      <w:r>
        <w:rPr>
          <w:sz w:val="20"/>
          <w:szCs w:val="20"/>
          <w:lang w:val="en-US"/>
        </w:rPr>
        <w:t xml:space="preserve"> </w:t>
      </w:r>
      <w:r w:rsidRPr="00A20DAF">
        <w:rPr>
          <w:sz w:val="20"/>
          <w:szCs w:val="20"/>
          <w:lang w:val="en-US"/>
        </w:rPr>
        <w:t>Vertical</w:t>
      </w:r>
      <w:r w:rsidRPr="000756D9">
        <w:rPr>
          <w:sz w:val="20"/>
          <w:szCs w:val="20"/>
          <w:lang w:val="en-US"/>
        </w:rPr>
        <w:t xml:space="preserve"> spreads denote 95% confidence intervals. Model estimates are available in Table A.</w:t>
      </w:r>
      <w:r>
        <w:rPr>
          <w:sz w:val="20"/>
          <w:szCs w:val="20"/>
          <w:lang w:val="en-US"/>
        </w:rPr>
        <w:t>3</w:t>
      </w:r>
      <w:r w:rsidRPr="000756D9">
        <w:rPr>
          <w:sz w:val="20"/>
          <w:szCs w:val="20"/>
          <w:lang w:val="en-US"/>
        </w:rPr>
        <w:t xml:space="preserve"> in Appendix.</w:t>
      </w:r>
    </w:p>
    <w:p w14:paraId="791B7ACA" w14:textId="77777777" w:rsidR="00F829BE" w:rsidRPr="00256D32" w:rsidRDefault="00F829BE" w:rsidP="00F829BE">
      <w:pPr>
        <w:spacing w:line="240" w:lineRule="auto"/>
        <w:ind w:firstLine="0"/>
        <w:jc w:val="left"/>
        <w:rPr>
          <w:sz w:val="20"/>
          <w:szCs w:val="20"/>
          <w:lang w:val="en-US"/>
        </w:rPr>
      </w:pPr>
      <w:r>
        <w:rPr>
          <w:i/>
          <w:sz w:val="20"/>
          <w:szCs w:val="20"/>
          <w:lang w:val="en-US"/>
        </w:rPr>
        <w:t xml:space="preserve">Source: </w:t>
      </w:r>
      <w:proofErr w:type="spellStart"/>
      <w:r>
        <w:rPr>
          <w:sz w:val="20"/>
          <w:szCs w:val="20"/>
          <w:lang w:val="en-US"/>
        </w:rPr>
        <w:t>TrEC</w:t>
      </w:r>
      <w:proofErr w:type="spellEnd"/>
      <w:r>
        <w:rPr>
          <w:sz w:val="20"/>
          <w:szCs w:val="20"/>
          <w:lang w:val="en-US"/>
        </w:rPr>
        <w:t>; own calculations.</w:t>
      </w:r>
    </w:p>
    <w:p w14:paraId="19B8B061" w14:textId="5D533900" w:rsidR="00DA0CAD" w:rsidRPr="00256D32" w:rsidRDefault="00DA0CAD">
      <w:pPr>
        <w:spacing w:after="200" w:line="276" w:lineRule="auto"/>
        <w:ind w:firstLine="0"/>
        <w:jc w:val="left"/>
        <w:rPr>
          <w:sz w:val="20"/>
          <w:szCs w:val="20"/>
          <w:lang w:val="en-US"/>
        </w:rPr>
      </w:pPr>
      <w:r w:rsidRPr="00256D32">
        <w:rPr>
          <w:sz w:val="20"/>
          <w:szCs w:val="20"/>
          <w:lang w:val="en-US"/>
        </w:rPr>
        <w:br w:type="page"/>
      </w:r>
    </w:p>
    <w:p w14:paraId="18CA99A1" w14:textId="77777777" w:rsidR="00DA0CAD" w:rsidRDefault="00DA0CAD" w:rsidP="00DA0CAD">
      <w:pPr>
        <w:spacing w:line="240" w:lineRule="auto"/>
        <w:ind w:firstLine="0"/>
        <w:jc w:val="left"/>
        <w:rPr>
          <w:b/>
          <w:lang w:val="en-US"/>
        </w:rPr>
      </w:pPr>
      <w:r>
        <w:rPr>
          <w:b/>
          <w:lang w:val="en-US"/>
        </w:rPr>
        <w:lastRenderedPageBreak/>
        <w:t>Figure A.1</w:t>
      </w:r>
      <w:r w:rsidRPr="00173854">
        <w:rPr>
          <w:b/>
          <w:lang w:val="en-US"/>
        </w:rPr>
        <w:t xml:space="preserve">. </w:t>
      </w:r>
      <w:r>
        <w:rPr>
          <w:b/>
          <w:lang w:val="en-US"/>
        </w:rPr>
        <w:t>Predicted probabilities of real educational pathways as functions of scholastic ability (quintiles) and social background</w:t>
      </w:r>
    </w:p>
    <w:p w14:paraId="2F74746E" w14:textId="77777777" w:rsidR="00DA0CAD" w:rsidRDefault="00DA0CAD" w:rsidP="00DA0CAD">
      <w:pPr>
        <w:spacing w:line="240" w:lineRule="auto"/>
        <w:ind w:firstLine="0"/>
        <w:jc w:val="left"/>
        <w:rPr>
          <w:noProof/>
          <w:lang w:val="en-US" w:eastAsia="ru-RU"/>
        </w:rPr>
      </w:pPr>
    </w:p>
    <w:p w14:paraId="21A3699E" w14:textId="77777777" w:rsidR="00DA0CAD" w:rsidRDefault="00DA0CAD" w:rsidP="00DA0CAD">
      <w:pPr>
        <w:spacing w:line="240" w:lineRule="auto"/>
        <w:ind w:firstLine="0"/>
        <w:jc w:val="left"/>
        <w:rPr>
          <w:noProof/>
          <w:lang w:val="en-US" w:eastAsia="ru-RU"/>
        </w:rPr>
      </w:pPr>
      <w:r>
        <w:rPr>
          <w:noProof/>
          <w:lang w:eastAsia="ru-RU"/>
        </w:rPr>
        <w:drawing>
          <wp:inline distT="0" distB="0" distL="0" distR="0" wp14:anchorId="6D1A18CE" wp14:editId="1D36825C">
            <wp:extent cx="5130800" cy="7331343"/>
            <wp:effectExtent l="0" t="0" r="0" b="3175"/>
            <wp:docPr id="5" name="Picture 5" descr="C:\Users\Gordey\Dropbox\bypass_article\data_and_analysis\graphs\Figur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ey\Dropbox\bypass_article\data_and_analysis\graphs\FigureA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7331343"/>
                    </a:xfrm>
                    <a:prstGeom prst="rect">
                      <a:avLst/>
                    </a:prstGeom>
                    <a:noFill/>
                    <a:ln>
                      <a:noFill/>
                    </a:ln>
                  </pic:spPr>
                </pic:pic>
              </a:graphicData>
            </a:graphic>
          </wp:inline>
        </w:drawing>
      </w:r>
    </w:p>
    <w:p w14:paraId="15179B15" w14:textId="77777777" w:rsidR="00DA0CAD" w:rsidRDefault="00DA0CAD" w:rsidP="00DA0CAD">
      <w:pPr>
        <w:spacing w:line="240" w:lineRule="auto"/>
        <w:ind w:firstLine="0"/>
        <w:jc w:val="left"/>
        <w:rPr>
          <w:noProof/>
          <w:lang w:val="en-US" w:eastAsia="ru-RU"/>
        </w:rPr>
      </w:pPr>
    </w:p>
    <w:p w14:paraId="45A52F73" w14:textId="77777777" w:rsidR="00DA0CAD" w:rsidRPr="00256D32" w:rsidRDefault="00DA0CAD" w:rsidP="00DA0CAD">
      <w:pPr>
        <w:spacing w:line="240" w:lineRule="auto"/>
        <w:ind w:firstLine="0"/>
        <w:jc w:val="left"/>
        <w:rPr>
          <w:sz w:val="20"/>
          <w:szCs w:val="20"/>
          <w:lang w:val="en-US"/>
        </w:rPr>
      </w:pPr>
      <w:r>
        <w:rPr>
          <w:i/>
          <w:sz w:val="20"/>
          <w:szCs w:val="20"/>
          <w:lang w:val="en-US"/>
        </w:rPr>
        <w:t>Notes</w:t>
      </w:r>
      <w:r w:rsidRPr="00042AC5">
        <w:rPr>
          <w:i/>
          <w:sz w:val="20"/>
          <w:szCs w:val="20"/>
          <w:lang w:val="en-US"/>
        </w:rPr>
        <w:t>:</w:t>
      </w:r>
      <w:r w:rsidRPr="00042AC5">
        <w:rPr>
          <w:sz w:val="20"/>
          <w:szCs w:val="20"/>
          <w:lang w:val="en-US"/>
        </w:rPr>
        <w:t xml:space="preserve"> </w:t>
      </w:r>
      <w:r w:rsidRPr="000032C1">
        <w:rPr>
          <w:sz w:val="20"/>
          <w:szCs w:val="20"/>
          <w:lang w:val="en-US"/>
        </w:rPr>
        <w:t>Solid lines</w:t>
      </w:r>
      <w:r w:rsidRPr="00546E69">
        <w:rPr>
          <w:sz w:val="20"/>
          <w:szCs w:val="20"/>
          <w:lang w:val="en-US"/>
        </w:rPr>
        <w:t xml:space="preserve"> – higher social background; </w:t>
      </w:r>
      <w:r w:rsidRPr="000032C1">
        <w:rPr>
          <w:sz w:val="20"/>
          <w:szCs w:val="20"/>
          <w:lang w:val="en-US"/>
        </w:rPr>
        <w:t>dashed lines</w:t>
      </w:r>
      <w:r w:rsidRPr="00546E69">
        <w:rPr>
          <w:sz w:val="20"/>
          <w:szCs w:val="20"/>
          <w:lang w:val="en-US"/>
        </w:rPr>
        <w:t xml:space="preserve"> – lower social background. </w:t>
      </w:r>
      <w:proofErr w:type="gramStart"/>
      <w:r w:rsidRPr="000032C1">
        <w:rPr>
          <w:sz w:val="20"/>
          <w:szCs w:val="20"/>
          <w:lang w:val="en-US"/>
        </w:rPr>
        <w:t>Horizontal dotted lines</w:t>
      </w:r>
      <w:r w:rsidRPr="00546E69">
        <w:rPr>
          <w:sz w:val="20"/>
          <w:szCs w:val="20"/>
          <w:lang w:val="en-US"/>
        </w:rPr>
        <w:t xml:space="preserve"> – unconditional (baseline) probabilities of corresponding outcomes.</w:t>
      </w:r>
      <w:proofErr w:type="gramEnd"/>
      <w:r>
        <w:rPr>
          <w:sz w:val="20"/>
          <w:szCs w:val="20"/>
          <w:lang w:val="en-US"/>
        </w:rPr>
        <w:t xml:space="preserve"> </w:t>
      </w:r>
      <w:r w:rsidRPr="000032C1">
        <w:rPr>
          <w:sz w:val="20"/>
          <w:szCs w:val="20"/>
          <w:lang w:val="en-US"/>
        </w:rPr>
        <w:t>Vertical</w:t>
      </w:r>
      <w:r w:rsidRPr="00546E69">
        <w:rPr>
          <w:sz w:val="20"/>
          <w:szCs w:val="20"/>
          <w:lang w:val="en-US"/>
        </w:rPr>
        <w:t xml:space="preserve"> spreads denote 95% confidence intervals.</w:t>
      </w:r>
      <w:r>
        <w:rPr>
          <w:sz w:val="20"/>
          <w:szCs w:val="20"/>
          <w:lang w:val="en-US"/>
        </w:rPr>
        <w:t xml:space="preserve"> </w:t>
      </w:r>
      <w:r w:rsidRPr="000756D9">
        <w:rPr>
          <w:sz w:val="20"/>
          <w:szCs w:val="20"/>
          <w:lang w:val="en-US"/>
        </w:rPr>
        <w:t>Model estimates are available in Table A.</w:t>
      </w:r>
      <w:r>
        <w:rPr>
          <w:sz w:val="20"/>
          <w:szCs w:val="20"/>
          <w:lang w:val="en-US"/>
        </w:rPr>
        <w:t>5</w:t>
      </w:r>
      <w:r w:rsidRPr="000756D9">
        <w:rPr>
          <w:sz w:val="20"/>
          <w:szCs w:val="20"/>
          <w:lang w:val="en-US"/>
        </w:rPr>
        <w:t xml:space="preserve"> in Appendix</w:t>
      </w:r>
      <w:r>
        <w:rPr>
          <w:sz w:val="20"/>
          <w:szCs w:val="20"/>
          <w:lang w:val="en-US"/>
        </w:rPr>
        <w:t xml:space="preserve">. </w:t>
      </w:r>
      <w:r>
        <w:rPr>
          <w:i/>
          <w:sz w:val="20"/>
          <w:szCs w:val="20"/>
          <w:lang w:val="en-US"/>
        </w:rPr>
        <w:t xml:space="preserve">Source: </w:t>
      </w:r>
      <w:proofErr w:type="spellStart"/>
      <w:r>
        <w:rPr>
          <w:sz w:val="20"/>
          <w:szCs w:val="20"/>
          <w:lang w:val="en-US"/>
        </w:rPr>
        <w:t>TrEC</w:t>
      </w:r>
      <w:proofErr w:type="spellEnd"/>
      <w:r>
        <w:rPr>
          <w:sz w:val="20"/>
          <w:szCs w:val="20"/>
          <w:lang w:val="en-US"/>
        </w:rPr>
        <w:t>; own calculations.</w:t>
      </w:r>
    </w:p>
    <w:p w14:paraId="4F33D013" w14:textId="77777777" w:rsidR="00DA0CAD" w:rsidRPr="00256D32" w:rsidRDefault="00DA0CAD" w:rsidP="00DA0CAD">
      <w:pPr>
        <w:spacing w:line="240" w:lineRule="auto"/>
        <w:ind w:firstLine="0"/>
        <w:jc w:val="left"/>
        <w:rPr>
          <w:lang w:val="en-US"/>
        </w:rPr>
      </w:pPr>
    </w:p>
    <w:p w14:paraId="3B7129CE" w14:textId="77777777" w:rsidR="00DA0CAD" w:rsidRDefault="00DA0CAD" w:rsidP="00DA0CAD">
      <w:pPr>
        <w:spacing w:line="240" w:lineRule="auto"/>
        <w:ind w:firstLine="0"/>
        <w:jc w:val="left"/>
        <w:rPr>
          <w:b/>
          <w:lang w:val="en-US"/>
        </w:rPr>
      </w:pPr>
      <w:r>
        <w:rPr>
          <w:b/>
          <w:lang w:val="en-US"/>
        </w:rPr>
        <w:lastRenderedPageBreak/>
        <w:t>Figure A.2</w:t>
      </w:r>
      <w:r w:rsidRPr="00173854">
        <w:rPr>
          <w:b/>
          <w:lang w:val="en-US"/>
        </w:rPr>
        <w:t xml:space="preserve">. </w:t>
      </w:r>
      <w:r>
        <w:rPr>
          <w:b/>
          <w:lang w:val="en-US"/>
        </w:rPr>
        <w:t>Predicted probabilities of aspired educational pathways as functions of scholastic ability and social background</w:t>
      </w:r>
    </w:p>
    <w:p w14:paraId="7F5D9308" w14:textId="77777777" w:rsidR="00DA0CAD" w:rsidRDefault="00DA0CAD" w:rsidP="00DA0CAD">
      <w:pPr>
        <w:spacing w:line="240" w:lineRule="auto"/>
        <w:ind w:firstLine="0"/>
        <w:jc w:val="left"/>
        <w:rPr>
          <w:lang w:val="en-US"/>
        </w:rPr>
      </w:pPr>
    </w:p>
    <w:p w14:paraId="43DE99E2" w14:textId="77777777" w:rsidR="00DA0CAD" w:rsidRDefault="00DA0CAD" w:rsidP="00DA0CAD">
      <w:pPr>
        <w:spacing w:line="240" w:lineRule="auto"/>
        <w:ind w:firstLine="0"/>
        <w:jc w:val="left"/>
        <w:rPr>
          <w:lang w:val="en-US"/>
        </w:rPr>
      </w:pPr>
      <w:r>
        <w:rPr>
          <w:noProof/>
          <w:lang w:eastAsia="ru-RU"/>
        </w:rPr>
        <w:drawing>
          <wp:inline distT="0" distB="0" distL="0" distR="0" wp14:anchorId="76AEDD72" wp14:editId="2D726835">
            <wp:extent cx="5130800" cy="7331343"/>
            <wp:effectExtent l="0" t="0" r="0" b="3175"/>
            <wp:docPr id="6" name="Picture 6" descr="C:\Users\Gordey\Dropbox\bypass_article\data_and_analysis\graphs\Figur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ey\Dropbox\bypass_article\data_and_analysis\graphs\FigureA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7331343"/>
                    </a:xfrm>
                    <a:prstGeom prst="rect">
                      <a:avLst/>
                    </a:prstGeom>
                    <a:noFill/>
                    <a:ln>
                      <a:noFill/>
                    </a:ln>
                  </pic:spPr>
                </pic:pic>
              </a:graphicData>
            </a:graphic>
          </wp:inline>
        </w:drawing>
      </w:r>
    </w:p>
    <w:p w14:paraId="4DC2563B" w14:textId="77777777" w:rsidR="00DA0CAD" w:rsidRDefault="00DA0CAD" w:rsidP="00DA0CAD">
      <w:pPr>
        <w:spacing w:line="240" w:lineRule="auto"/>
        <w:ind w:firstLine="0"/>
        <w:jc w:val="left"/>
        <w:rPr>
          <w:lang w:val="en-US"/>
        </w:rPr>
      </w:pPr>
    </w:p>
    <w:p w14:paraId="3372FB30" w14:textId="77777777" w:rsidR="00DA0CAD" w:rsidRPr="00256D32" w:rsidRDefault="00DA0CAD" w:rsidP="00DA0CAD">
      <w:pPr>
        <w:spacing w:line="240" w:lineRule="auto"/>
        <w:ind w:firstLine="0"/>
        <w:jc w:val="left"/>
        <w:rPr>
          <w:sz w:val="20"/>
          <w:szCs w:val="20"/>
          <w:lang w:val="en-US"/>
        </w:rPr>
      </w:pPr>
      <w:r>
        <w:rPr>
          <w:i/>
          <w:sz w:val="20"/>
          <w:szCs w:val="20"/>
          <w:lang w:val="en-US"/>
        </w:rPr>
        <w:t>Notes</w:t>
      </w:r>
      <w:r w:rsidRPr="00042AC5">
        <w:rPr>
          <w:i/>
          <w:sz w:val="20"/>
          <w:szCs w:val="20"/>
          <w:lang w:val="en-US"/>
        </w:rPr>
        <w:t>:</w:t>
      </w:r>
      <w:r w:rsidRPr="00042AC5">
        <w:rPr>
          <w:sz w:val="20"/>
          <w:szCs w:val="20"/>
          <w:lang w:val="en-US"/>
        </w:rPr>
        <w:t xml:space="preserve"> </w:t>
      </w:r>
      <w:r w:rsidRPr="001E0AEA">
        <w:rPr>
          <w:sz w:val="20"/>
          <w:szCs w:val="20"/>
          <w:lang w:val="en-US"/>
        </w:rPr>
        <w:t>Solid lines</w:t>
      </w:r>
      <w:r w:rsidRPr="009B0442">
        <w:rPr>
          <w:sz w:val="20"/>
          <w:szCs w:val="20"/>
          <w:lang w:val="en-US"/>
        </w:rPr>
        <w:t xml:space="preserve"> – higher social background; </w:t>
      </w:r>
      <w:r w:rsidRPr="001E0AEA">
        <w:rPr>
          <w:sz w:val="20"/>
          <w:szCs w:val="20"/>
          <w:lang w:val="en-US"/>
        </w:rPr>
        <w:t>dashed lines</w:t>
      </w:r>
      <w:r w:rsidRPr="009B0442">
        <w:rPr>
          <w:sz w:val="20"/>
          <w:szCs w:val="20"/>
          <w:lang w:val="en-US"/>
        </w:rPr>
        <w:t xml:space="preserve"> – lower social background. </w:t>
      </w:r>
      <w:proofErr w:type="gramStart"/>
      <w:r w:rsidRPr="001E0AEA">
        <w:rPr>
          <w:sz w:val="20"/>
          <w:szCs w:val="20"/>
          <w:lang w:val="en-US"/>
        </w:rPr>
        <w:t>Horizontal dotted lines</w:t>
      </w:r>
      <w:r w:rsidRPr="009B0442">
        <w:rPr>
          <w:sz w:val="20"/>
          <w:szCs w:val="20"/>
          <w:lang w:val="en-US"/>
        </w:rPr>
        <w:t xml:space="preserve"> – unconditional (baseline) probabilities of corresponding outcomes.</w:t>
      </w:r>
      <w:proofErr w:type="gramEnd"/>
      <w:r>
        <w:rPr>
          <w:sz w:val="20"/>
          <w:szCs w:val="20"/>
          <w:lang w:val="en-US"/>
        </w:rPr>
        <w:t xml:space="preserve"> </w:t>
      </w:r>
      <w:r w:rsidRPr="001E0AEA">
        <w:rPr>
          <w:sz w:val="20"/>
          <w:szCs w:val="20"/>
          <w:lang w:val="en-US"/>
        </w:rPr>
        <w:t>Vertical</w:t>
      </w:r>
      <w:r w:rsidRPr="009B0442">
        <w:rPr>
          <w:sz w:val="20"/>
          <w:szCs w:val="20"/>
          <w:lang w:val="en-US"/>
        </w:rPr>
        <w:t xml:space="preserve"> spreads denote 95% confidence intervals.</w:t>
      </w:r>
      <w:r>
        <w:rPr>
          <w:sz w:val="20"/>
          <w:szCs w:val="20"/>
          <w:lang w:val="en-US"/>
        </w:rPr>
        <w:t xml:space="preserve"> </w:t>
      </w:r>
      <w:r w:rsidRPr="000756D9">
        <w:rPr>
          <w:sz w:val="20"/>
          <w:szCs w:val="20"/>
          <w:lang w:val="en-US"/>
        </w:rPr>
        <w:t>Model estimates are available in Table A.</w:t>
      </w:r>
      <w:r>
        <w:rPr>
          <w:sz w:val="20"/>
          <w:szCs w:val="20"/>
          <w:lang w:val="en-US"/>
        </w:rPr>
        <w:t>6</w:t>
      </w:r>
      <w:r w:rsidRPr="000756D9">
        <w:rPr>
          <w:sz w:val="20"/>
          <w:szCs w:val="20"/>
          <w:lang w:val="en-US"/>
        </w:rPr>
        <w:t xml:space="preserve"> in Appendix</w:t>
      </w:r>
      <w:r w:rsidRPr="00760867">
        <w:rPr>
          <w:sz w:val="20"/>
          <w:szCs w:val="20"/>
          <w:lang w:val="en-US"/>
        </w:rPr>
        <w:t>.</w:t>
      </w:r>
      <w:r>
        <w:rPr>
          <w:sz w:val="20"/>
          <w:szCs w:val="20"/>
          <w:lang w:val="en-US"/>
        </w:rPr>
        <w:t xml:space="preserve"> </w:t>
      </w:r>
      <w:r>
        <w:rPr>
          <w:i/>
          <w:sz w:val="20"/>
          <w:szCs w:val="20"/>
          <w:lang w:val="en-US"/>
        </w:rPr>
        <w:t xml:space="preserve">Source: </w:t>
      </w:r>
      <w:proofErr w:type="spellStart"/>
      <w:r>
        <w:rPr>
          <w:sz w:val="20"/>
          <w:szCs w:val="20"/>
          <w:lang w:val="en-US"/>
        </w:rPr>
        <w:t>TrEC</w:t>
      </w:r>
      <w:proofErr w:type="spellEnd"/>
      <w:r>
        <w:rPr>
          <w:sz w:val="20"/>
          <w:szCs w:val="20"/>
          <w:lang w:val="en-US"/>
        </w:rPr>
        <w:t>; own calculations.</w:t>
      </w:r>
    </w:p>
    <w:p w14:paraId="45954ECE" w14:textId="77777777" w:rsidR="00DA0CAD" w:rsidRPr="00256D32" w:rsidRDefault="00DA0CAD" w:rsidP="00DA0CAD">
      <w:pPr>
        <w:spacing w:line="240" w:lineRule="auto"/>
        <w:ind w:firstLine="0"/>
        <w:jc w:val="left"/>
        <w:rPr>
          <w:sz w:val="20"/>
          <w:szCs w:val="20"/>
          <w:lang w:val="en-US"/>
        </w:rPr>
      </w:pPr>
    </w:p>
    <w:p w14:paraId="5612FC0E" w14:textId="77777777" w:rsidR="00DA0CAD" w:rsidRDefault="00DA0CAD" w:rsidP="00DA0CAD">
      <w:pPr>
        <w:spacing w:line="240" w:lineRule="auto"/>
        <w:ind w:firstLine="0"/>
        <w:jc w:val="left"/>
        <w:rPr>
          <w:b/>
          <w:lang w:val="en-US"/>
        </w:rPr>
      </w:pPr>
      <w:r>
        <w:rPr>
          <w:b/>
          <w:lang w:val="en-US"/>
        </w:rPr>
        <w:lastRenderedPageBreak/>
        <w:t>Figure A.3</w:t>
      </w:r>
      <w:r w:rsidRPr="00173854">
        <w:rPr>
          <w:b/>
          <w:lang w:val="en-US"/>
        </w:rPr>
        <w:t xml:space="preserve">. </w:t>
      </w:r>
      <w:r>
        <w:rPr>
          <w:b/>
          <w:lang w:val="en-US"/>
        </w:rPr>
        <w:t>Predicted probabilities of real educational pathways as functions of scholastic ability and social background (PISA sample)</w:t>
      </w:r>
    </w:p>
    <w:p w14:paraId="315C7782" w14:textId="77777777" w:rsidR="00DA0CAD" w:rsidRDefault="00DA0CAD" w:rsidP="00DA0CAD">
      <w:pPr>
        <w:spacing w:line="240" w:lineRule="auto"/>
        <w:ind w:firstLine="0"/>
        <w:jc w:val="left"/>
        <w:rPr>
          <w:lang w:val="en-US"/>
        </w:rPr>
      </w:pPr>
    </w:p>
    <w:p w14:paraId="43618893" w14:textId="77777777" w:rsidR="00DA0CAD" w:rsidRDefault="00DA0CAD" w:rsidP="00DA0CAD">
      <w:pPr>
        <w:spacing w:line="240" w:lineRule="auto"/>
        <w:ind w:firstLine="0"/>
        <w:jc w:val="left"/>
        <w:rPr>
          <w:lang w:val="en-US"/>
        </w:rPr>
      </w:pPr>
      <w:r>
        <w:rPr>
          <w:noProof/>
          <w:lang w:eastAsia="ru-RU"/>
        </w:rPr>
        <w:drawing>
          <wp:inline distT="0" distB="0" distL="0" distR="0" wp14:anchorId="6FBDA2AD" wp14:editId="5916C51A">
            <wp:extent cx="5130800" cy="3591560"/>
            <wp:effectExtent l="0" t="0" r="0" b="8890"/>
            <wp:docPr id="7" name="Picture 7" descr="C:\Users\Gordey\Dropbox\bypass_article\data_and_analysis\graphs\Figur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ey\Dropbox\bypass_article\data_and_analysis\graphs\FigureA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800" cy="3591560"/>
                    </a:xfrm>
                    <a:prstGeom prst="rect">
                      <a:avLst/>
                    </a:prstGeom>
                    <a:noFill/>
                    <a:ln>
                      <a:noFill/>
                    </a:ln>
                  </pic:spPr>
                </pic:pic>
              </a:graphicData>
            </a:graphic>
          </wp:inline>
        </w:drawing>
      </w:r>
    </w:p>
    <w:p w14:paraId="0FC13AC9" w14:textId="77777777" w:rsidR="00DA0CAD" w:rsidRDefault="00DA0CAD" w:rsidP="00DA0CAD">
      <w:pPr>
        <w:spacing w:line="240" w:lineRule="auto"/>
        <w:ind w:firstLine="0"/>
        <w:jc w:val="left"/>
        <w:rPr>
          <w:lang w:val="en-US"/>
        </w:rPr>
      </w:pPr>
    </w:p>
    <w:p w14:paraId="02F8DA29" w14:textId="77777777" w:rsidR="00DA0CAD" w:rsidRDefault="00DA0CAD" w:rsidP="00DA0CAD">
      <w:pPr>
        <w:spacing w:line="240" w:lineRule="auto"/>
        <w:ind w:firstLine="0"/>
        <w:jc w:val="left"/>
        <w:rPr>
          <w:sz w:val="20"/>
          <w:szCs w:val="20"/>
          <w:lang w:val="en-US"/>
        </w:rPr>
      </w:pPr>
      <w:r>
        <w:rPr>
          <w:i/>
          <w:sz w:val="20"/>
          <w:szCs w:val="20"/>
          <w:lang w:val="en-US"/>
        </w:rPr>
        <w:t>Notes</w:t>
      </w:r>
      <w:r w:rsidRPr="00042AC5">
        <w:rPr>
          <w:i/>
          <w:sz w:val="20"/>
          <w:szCs w:val="20"/>
          <w:lang w:val="en-US"/>
        </w:rPr>
        <w:t>:</w:t>
      </w:r>
      <w:r w:rsidRPr="00042AC5">
        <w:rPr>
          <w:sz w:val="20"/>
          <w:szCs w:val="20"/>
          <w:lang w:val="en-US"/>
        </w:rPr>
        <w:t xml:space="preserve"> </w:t>
      </w:r>
      <w:r w:rsidRPr="001E0AEA">
        <w:rPr>
          <w:sz w:val="20"/>
          <w:szCs w:val="20"/>
          <w:lang w:val="en-US"/>
        </w:rPr>
        <w:t>Solid lines</w:t>
      </w:r>
      <w:r w:rsidRPr="009B0442">
        <w:rPr>
          <w:sz w:val="20"/>
          <w:szCs w:val="20"/>
          <w:lang w:val="en-US"/>
        </w:rPr>
        <w:t xml:space="preserve"> – higher social background; </w:t>
      </w:r>
      <w:r w:rsidRPr="001E0AEA">
        <w:rPr>
          <w:sz w:val="20"/>
          <w:szCs w:val="20"/>
          <w:lang w:val="en-US"/>
        </w:rPr>
        <w:t>dashed lines</w:t>
      </w:r>
      <w:r w:rsidRPr="009B0442">
        <w:rPr>
          <w:sz w:val="20"/>
          <w:szCs w:val="20"/>
          <w:lang w:val="en-US"/>
        </w:rPr>
        <w:t xml:space="preserve"> – lower social background. </w:t>
      </w:r>
      <w:proofErr w:type="gramStart"/>
      <w:r w:rsidRPr="001E0AEA">
        <w:rPr>
          <w:sz w:val="20"/>
          <w:szCs w:val="20"/>
          <w:lang w:val="en-US"/>
        </w:rPr>
        <w:t>Horizontal dotted lines</w:t>
      </w:r>
      <w:r w:rsidRPr="009B0442">
        <w:rPr>
          <w:sz w:val="20"/>
          <w:szCs w:val="20"/>
          <w:lang w:val="en-US"/>
        </w:rPr>
        <w:t xml:space="preserve"> – unconditional (baseline) probabilities of corresponding outcomes.</w:t>
      </w:r>
      <w:proofErr w:type="gramEnd"/>
      <w:r>
        <w:rPr>
          <w:sz w:val="20"/>
          <w:szCs w:val="20"/>
          <w:lang w:val="en-US"/>
        </w:rPr>
        <w:t xml:space="preserve"> </w:t>
      </w:r>
      <w:r w:rsidRPr="001E0AEA">
        <w:rPr>
          <w:sz w:val="20"/>
          <w:szCs w:val="20"/>
          <w:lang w:val="en-US"/>
        </w:rPr>
        <w:t>Vertical</w:t>
      </w:r>
      <w:r w:rsidRPr="009B0442">
        <w:rPr>
          <w:sz w:val="20"/>
          <w:szCs w:val="20"/>
          <w:lang w:val="en-US"/>
        </w:rPr>
        <w:t xml:space="preserve"> spreads denote 95% confidence intervals.</w:t>
      </w:r>
      <w:r>
        <w:rPr>
          <w:sz w:val="20"/>
          <w:szCs w:val="20"/>
          <w:lang w:val="en-US"/>
        </w:rPr>
        <w:t xml:space="preserve"> </w:t>
      </w:r>
      <w:r w:rsidRPr="000756D9">
        <w:rPr>
          <w:sz w:val="20"/>
          <w:szCs w:val="20"/>
          <w:lang w:val="en-US"/>
        </w:rPr>
        <w:t>Model estimates are available in Table A.</w:t>
      </w:r>
      <w:r>
        <w:rPr>
          <w:sz w:val="20"/>
          <w:szCs w:val="20"/>
          <w:lang w:val="en-US"/>
        </w:rPr>
        <w:t>7</w:t>
      </w:r>
      <w:r w:rsidRPr="000756D9">
        <w:rPr>
          <w:sz w:val="20"/>
          <w:szCs w:val="20"/>
          <w:lang w:val="en-US"/>
        </w:rPr>
        <w:t xml:space="preserve"> in Appendix</w:t>
      </w:r>
      <w:r w:rsidRPr="00760867">
        <w:rPr>
          <w:sz w:val="20"/>
          <w:szCs w:val="20"/>
          <w:lang w:val="en-US"/>
        </w:rPr>
        <w:t>.</w:t>
      </w:r>
      <w:r>
        <w:rPr>
          <w:sz w:val="20"/>
          <w:szCs w:val="20"/>
          <w:lang w:val="en-US"/>
        </w:rPr>
        <w:t xml:space="preserve"> </w:t>
      </w:r>
      <w:r>
        <w:rPr>
          <w:i/>
          <w:sz w:val="20"/>
          <w:szCs w:val="20"/>
          <w:lang w:val="en-US"/>
        </w:rPr>
        <w:t xml:space="preserve">Source: </w:t>
      </w:r>
      <w:proofErr w:type="spellStart"/>
      <w:r>
        <w:rPr>
          <w:sz w:val="20"/>
          <w:szCs w:val="20"/>
          <w:lang w:val="en-US"/>
        </w:rPr>
        <w:t>TrEC</w:t>
      </w:r>
      <w:proofErr w:type="spellEnd"/>
      <w:r>
        <w:rPr>
          <w:sz w:val="20"/>
          <w:szCs w:val="20"/>
          <w:lang w:val="en-US"/>
        </w:rPr>
        <w:t>; own calculations.</w:t>
      </w:r>
    </w:p>
    <w:p w14:paraId="1FD5FFA8" w14:textId="77777777" w:rsidR="00DA0CAD" w:rsidRPr="00635061" w:rsidRDefault="00DA0CAD" w:rsidP="00DA0CAD">
      <w:pPr>
        <w:spacing w:line="240" w:lineRule="auto"/>
        <w:ind w:firstLine="0"/>
        <w:jc w:val="left"/>
        <w:rPr>
          <w:lang w:val="en-US"/>
        </w:rPr>
      </w:pPr>
    </w:p>
    <w:p w14:paraId="056CD1BA" w14:textId="77777777" w:rsidR="00405079" w:rsidRDefault="00405079">
      <w:pPr>
        <w:spacing w:after="200" w:line="276" w:lineRule="auto"/>
        <w:ind w:firstLine="0"/>
        <w:jc w:val="left"/>
        <w:rPr>
          <w:rFonts w:eastAsiaTheme="majorEastAsia" w:cstheme="majorBidi"/>
          <w:b/>
          <w:bCs/>
          <w:color w:val="000000" w:themeColor="text1"/>
          <w:sz w:val="28"/>
          <w:szCs w:val="28"/>
          <w:lang w:val="en-US"/>
        </w:rPr>
      </w:pPr>
      <w:r>
        <w:rPr>
          <w:lang w:val="en-US"/>
        </w:rPr>
        <w:br w:type="page"/>
      </w:r>
    </w:p>
    <w:p w14:paraId="0F62A2FA" w14:textId="191CEAEA" w:rsidR="00DA0CAD" w:rsidRDefault="00405079" w:rsidP="00405079">
      <w:pPr>
        <w:pStyle w:val="Heading1"/>
        <w:rPr>
          <w:lang w:val="en-US"/>
        </w:rPr>
      </w:pPr>
      <w:r>
        <w:rPr>
          <w:lang w:val="en-US"/>
        </w:rPr>
        <w:lastRenderedPageBreak/>
        <w:t>Tables</w:t>
      </w:r>
    </w:p>
    <w:p w14:paraId="7B7A0B24" w14:textId="77777777" w:rsidR="00C35151" w:rsidRDefault="00C35151" w:rsidP="00C35151">
      <w:pPr>
        <w:spacing w:line="240" w:lineRule="auto"/>
        <w:ind w:right="851" w:firstLine="0"/>
        <w:jc w:val="left"/>
        <w:rPr>
          <w:b/>
          <w:i/>
          <w:lang w:val="en-US"/>
        </w:rPr>
      </w:pPr>
      <w:proofErr w:type="gramStart"/>
      <w:r w:rsidRPr="00B313AC">
        <w:rPr>
          <w:b/>
          <w:lang w:val="en-US"/>
        </w:rPr>
        <w:t>Table 1.</w:t>
      </w:r>
      <w:proofErr w:type="gramEnd"/>
      <w:r w:rsidRPr="00B313AC">
        <w:rPr>
          <w:b/>
          <w:lang w:val="en-US"/>
        </w:rPr>
        <w:t xml:space="preserve"> The structure of the Russian panel study </w:t>
      </w:r>
      <w:r w:rsidRPr="00B313AC">
        <w:rPr>
          <w:b/>
          <w:i/>
          <w:lang w:val="en-US"/>
        </w:rPr>
        <w:t>Trajectories in Education and Careers</w:t>
      </w:r>
    </w:p>
    <w:p w14:paraId="140A5BBE" w14:textId="77777777" w:rsidR="00C35151" w:rsidRPr="003564B4" w:rsidRDefault="00C35151" w:rsidP="00C35151">
      <w:pPr>
        <w:spacing w:line="240" w:lineRule="auto"/>
        <w:ind w:right="851" w:firstLine="0"/>
        <w:jc w:val="left"/>
        <w:rPr>
          <w:b/>
          <w:i/>
          <w:lang w:val="en-US"/>
        </w:rPr>
      </w:pP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617"/>
        <w:gridCol w:w="1842"/>
        <w:gridCol w:w="993"/>
        <w:gridCol w:w="2640"/>
        <w:gridCol w:w="1384"/>
        <w:gridCol w:w="1079"/>
      </w:tblGrid>
      <w:tr w:rsidR="00C35151" w:rsidRPr="00256D32" w14:paraId="46A6B7B2" w14:textId="77777777" w:rsidTr="00D17B7B">
        <w:tc>
          <w:tcPr>
            <w:tcW w:w="1617" w:type="dxa"/>
            <w:vMerge w:val="restart"/>
            <w:tcBorders>
              <w:top w:val="single" w:sz="4" w:space="0" w:color="auto"/>
            </w:tcBorders>
          </w:tcPr>
          <w:p w14:paraId="6C6E3EA5" w14:textId="77777777" w:rsidR="00C35151" w:rsidRPr="00B91089" w:rsidRDefault="00C35151" w:rsidP="00D17B7B">
            <w:pPr>
              <w:spacing w:line="240" w:lineRule="auto"/>
              <w:ind w:firstLine="0"/>
              <w:jc w:val="left"/>
              <w:rPr>
                <w:b/>
                <w:color w:val="000000" w:themeColor="text1"/>
                <w:sz w:val="20"/>
                <w:szCs w:val="20"/>
                <w:lang w:eastAsia="ru-RU"/>
              </w:rPr>
            </w:pPr>
            <w:r w:rsidRPr="00B91089">
              <w:rPr>
                <w:b/>
                <w:color w:val="000000" w:themeColor="text1"/>
                <w:sz w:val="20"/>
                <w:szCs w:val="20"/>
                <w:lang w:val="en-US" w:eastAsia="ru-RU"/>
              </w:rPr>
              <w:t>Waves</w:t>
            </w:r>
          </w:p>
        </w:tc>
        <w:tc>
          <w:tcPr>
            <w:tcW w:w="1842" w:type="dxa"/>
            <w:vMerge w:val="restart"/>
            <w:tcBorders>
              <w:top w:val="single" w:sz="4" w:space="0" w:color="auto"/>
            </w:tcBorders>
          </w:tcPr>
          <w:p w14:paraId="5C6629BD" w14:textId="77777777" w:rsidR="00C35151" w:rsidRPr="00B91089" w:rsidRDefault="00C35151" w:rsidP="00D17B7B">
            <w:pPr>
              <w:spacing w:line="240" w:lineRule="auto"/>
              <w:ind w:firstLine="0"/>
              <w:jc w:val="left"/>
              <w:rPr>
                <w:b/>
                <w:color w:val="000000" w:themeColor="text1"/>
                <w:sz w:val="20"/>
                <w:szCs w:val="20"/>
                <w:lang w:eastAsia="ru-RU"/>
              </w:rPr>
            </w:pPr>
            <w:r w:rsidRPr="00B91089">
              <w:rPr>
                <w:b/>
                <w:color w:val="000000" w:themeColor="text1"/>
                <w:sz w:val="20"/>
                <w:szCs w:val="20"/>
                <w:lang w:val="en-US" w:eastAsia="ru-RU"/>
              </w:rPr>
              <w:t>Time of data collection</w:t>
            </w:r>
          </w:p>
        </w:tc>
        <w:tc>
          <w:tcPr>
            <w:tcW w:w="993" w:type="dxa"/>
            <w:vMerge w:val="restart"/>
            <w:tcBorders>
              <w:top w:val="single" w:sz="4" w:space="0" w:color="auto"/>
            </w:tcBorders>
          </w:tcPr>
          <w:p w14:paraId="565C23C8" w14:textId="77777777" w:rsidR="00C35151" w:rsidRPr="00B91089" w:rsidRDefault="00C35151" w:rsidP="00D17B7B">
            <w:pPr>
              <w:spacing w:line="240" w:lineRule="auto"/>
              <w:ind w:firstLine="0"/>
              <w:jc w:val="left"/>
              <w:rPr>
                <w:b/>
                <w:color w:val="000000" w:themeColor="text1"/>
                <w:sz w:val="20"/>
                <w:szCs w:val="20"/>
                <w:lang w:val="en-US" w:eastAsia="ru-RU"/>
              </w:rPr>
            </w:pPr>
            <w:r w:rsidRPr="00B91089">
              <w:rPr>
                <w:b/>
                <w:color w:val="000000" w:themeColor="text1"/>
                <w:sz w:val="20"/>
                <w:szCs w:val="20"/>
                <w:lang w:val="en-US" w:eastAsia="ru-RU"/>
              </w:rPr>
              <w:t>N</w:t>
            </w:r>
            <w:r w:rsidRPr="00B91089">
              <w:rPr>
                <w:b/>
                <w:color w:val="000000" w:themeColor="text1"/>
                <w:sz w:val="20"/>
                <w:szCs w:val="20"/>
                <w:vertAlign w:val="superscript"/>
                <w:lang w:val="en-US" w:eastAsia="ru-RU"/>
              </w:rPr>
              <w:t>1)</w:t>
            </w:r>
          </w:p>
        </w:tc>
        <w:tc>
          <w:tcPr>
            <w:tcW w:w="5103" w:type="dxa"/>
            <w:gridSpan w:val="3"/>
            <w:tcBorders>
              <w:top w:val="single" w:sz="4" w:space="0" w:color="auto"/>
              <w:bottom w:val="single" w:sz="4" w:space="0" w:color="auto"/>
            </w:tcBorders>
          </w:tcPr>
          <w:p w14:paraId="27D58D9E" w14:textId="77777777" w:rsidR="00C35151" w:rsidRPr="00B91089" w:rsidRDefault="00C35151" w:rsidP="00D17B7B">
            <w:pPr>
              <w:spacing w:line="240" w:lineRule="auto"/>
              <w:ind w:firstLine="0"/>
              <w:jc w:val="left"/>
              <w:rPr>
                <w:b/>
                <w:color w:val="000000" w:themeColor="text1"/>
                <w:sz w:val="20"/>
                <w:szCs w:val="20"/>
                <w:lang w:val="en-US" w:eastAsia="ru-RU"/>
              </w:rPr>
            </w:pPr>
            <w:r w:rsidRPr="00B91089">
              <w:rPr>
                <w:b/>
                <w:color w:val="000000" w:themeColor="text1"/>
                <w:sz w:val="20"/>
                <w:szCs w:val="20"/>
                <w:lang w:val="en-US" w:eastAsia="ru-RU"/>
              </w:rPr>
              <w:t>Expected student status in education</w:t>
            </w:r>
            <w:r w:rsidRPr="00B91089">
              <w:rPr>
                <w:b/>
                <w:color w:val="000000" w:themeColor="text1"/>
                <w:sz w:val="20"/>
                <w:szCs w:val="20"/>
                <w:vertAlign w:val="superscript"/>
                <w:lang w:val="en-US" w:eastAsia="ru-RU"/>
              </w:rPr>
              <w:t>2)</w:t>
            </w:r>
          </w:p>
        </w:tc>
      </w:tr>
      <w:tr w:rsidR="00C35151" w:rsidRPr="00B91089" w14:paraId="3AC0CC98" w14:textId="77777777" w:rsidTr="00D17B7B">
        <w:tc>
          <w:tcPr>
            <w:tcW w:w="1617" w:type="dxa"/>
            <w:vMerge/>
            <w:tcBorders>
              <w:bottom w:val="single" w:sz="4" w:space="0" w:color="auto"/>
            </w:tcBorders>
          </w:tcPr>
          <w:p w14:paraId="04E20494" w14:textId="77777777" w:rsidR="00C35151" w:rsidRPr="00B91089" w:rsidRDefault="00C35151" w:rsidP="00D17B7B">
            <w:pPr>
              <w:spacing w:line="240" w:lineRule="auto"/>
              <w:ind w:firstLine="0"/>
              <w:jc w:val="left"/>
              <w:rPr>
                <w:b/>
                <w:color w:val="000000" w:themeColor="text1"/>
                <w:sz w:val="20"/>
                <w:szCs w:val="20"/>
                <w:lang w:val="en-US" w:eastAsia="ru-RU"/>
              </w:rPr>
            </w:pPr>
          </w:p>
        </w:tc>
        <w:tc>
          <w:tcPr>
            <w:tcW w:w="1842" w:type="dxa"/>
            <w:vMerge/>
            <w:tcBorders>
              <w:bottom w:val="single" w:sz="4" w:space="0" w:color="auto"/>
            </w:tcBorders>
          </w:tcPr>
          <w:p w14:paraId="6DD65E3B" w14:textId="77777777" w:rsidR="00C35151" w:rsidRPr="00B91089" w:rsidDel="0052564A" w:rsidRDefault="00C35151" w:rsidP="00D17B7B">
            <w:pPr>
              <w:spacing w:line="240" w:lineRule="auto"/>
              <w:ind w:firstLine="0"/>
              <w:jc w:val="left"/>
              <w:rPr>
                <w:b/>
                <w:color w:val="000000" w:themeColor="text1"/>
                <w:sz w:val="20"/>
                <w:szCs w:val="20"/>
                <w:lang w:val="en-US" w:eastAsia="ru-RU"/>
              </w:rPr>
            </w:pPr>
          </w:p>
        </w:tc>
        <w:tc>
          <w:tcPr>
            <w:tcW w:w="993" w:type="dxa"/>
            <w:vMerge/>
            <w:tcBorders>
              <w:bottom w:val="single" w:sz="4" w:space="0" w:color="auto"/>
            </w:tcBorders>
          </w:tcPr>
          <w:p w14:paraId="53E9EDAD" w14:textId="77777777" w:rsidR="00C35151" w:rsidRPr="00B91089" w:rsidRDefault="00C35151" w:rsidP="00D17B7B">
            <w:pPr>
              <w:spacing w:line="240" w:lineRule="auto"/>
              <w:ind w:firstLine="0"/>
              <w:jc w:val="left"/>
              <w:rPr>
                <w:b/>
                <w:color w:val="000000" w:themeColor="text1"/>
                <w:sz w:val="20"/>
                <w:szCs w:val="20"/>
                <w:lang w:val="en-US" w:eastAsia="ru-RU"/>
              </w:rPr>
            </w:pPr>
          </w:p>
        </w:tc>
        <w:tc>
          <w:tcPr>
            <w:tcW w:w="2640" w:type="dxa"/>
            <w:tcBorders>
              <w:top w:val="single" w:sz="4" w:space="0" w:color="auto"/>
              <w:bottom w:val="single" w:sz="4" w:space="0" w:color="auto"/>
            </w:tcBorders>
          </w:tcPr>
          <w:p w14:paraId="504FE36F" w14:textId="77777777" w:rsidR="00C35151" w:rsidRPr="00B91089" w:rsidRDefault="00C35151" w:rsidP="00D17B7B">
            <w:pPr>
              <w:spacing w:line="240" w:lineRule="auto"/>
              <w:ind w:firstLine="0"/>
              <w:jc w:val="left"/>
              <w:rPr>
                <w:b/>
                <w:color w:val="000000" w:themeColor="text1"/>
                <w:sz w:val="20"/>
                <w:szCs w:val="20"/>
                <w:lang w:val="en-US" w:eastAsia="ru-RU"/>
              </w:rPr>
            </w:pPr>
            <w:r w:rsidRPr="00B91089">
              <w:rPr>
                <w:b/>
                <w:color w:val="000000" w:themeColor="text1"/>
                <w:sz w:val="20"/>
                <w:szCs w:val="20"/>
                <w:lang w:val="en-US" w:eastAsia="ru-RU"/>
              </w:rPr>
              <w:t>Academic track</w:t>
            </w:r>
          </w:p>
        </w:tc>
        <w:tc>
          <w:tcPr>
            <w:tcW w:w="2463" w:type="dxa"/>
            <w:gridSpan w:val="2"/>
            <w:tcBorders>
              <w:top w:val="single" w:sz="4" w:space="0" w:color="auto"/>
              <w:bottom w:val="single" w:sz="4" w:space="0" w:color="auto"/>
            </w:tcBorders>
          </w:tcPr>
          <w:p w14:paraId="23D4EE25" w14:textId="77777777" w:rsidR="00C35151" w:rsidRPr="00B91089" w:rsidRDefault="00C35151" w:rsidP="00D17B7B">
            <w:pPr>
              <w:spacing w:line="240" w:lineRule="auto"/>
              <w:ind w:firstLine="0"/>
              <w:jc w:val="left"/>
              <w:rPr>
                <w:b/>
                <w:color w:val="000000" w:themeColor="text1"/>
                <w:sz w:val="20"/>
                <w:szCs w:val="20"/>
                <w:lang w:val="en-US" w:eastAsia="ru-RU"/>
              </w:rPr>
            </w:pPr>
            <w:r w:rsidRPr="00B91089">
              <w:rPr>
                <w:b/>
                <w:color w:val="000000" w:themeColor="text1"/>
                <w:sz w:val="20"/>
                <w:szCs w:val="20"/>
                <w:lang w:val="en-US" w:eastAsia="ru-RU"/>
              </w:rPr>
              <w:t>Vocational track</w:t>
            </w:r>
          </w:p>
        </w:tc>
      </w:tr>
      <w:tr w:rsidR="00C35151" w:rsidRPr="00B91089" w14:paraId="2B57D401" w14:textId="77777777" w:rsidTr="00D17B7B">
        <w:tc>
          <w:tcPr>
            <w:tcW w:w="1617" w:type="dxa"/>
            <w:tcBorders>
              <w:top w:val="single" w:sz="4" w:space="0" w:color="auto"/>
            </w:tcBorders>
          </w:tcPr>
          <w:p w14:paraId="1175C42E" w14:textId="77777777" w:rsidR="00C35151" w:rsidRPr="00B91089" w:rsidRDefault="00C35151" w:rsidP="00D17B7B">
            <w:pPr>
              <w:spacing w:line="240" w:lineRule="auto"/>
              <w:ind w:firstLine="0"/>
              <w:jc w:val="left"/>
              <w:rPr>
                <w:color w:val="000000" w:themeColor="text1"/>
                <w:sz w:val="20"/>
                <w:szCs w:val="20"/>
                <w:lang w:eastAsia="ru-RU"/>
              </w:rPr>
            </w:pPr>
            <w:r w:rsidRPr="00B91089">
              <w:rPr>
                <w:color w:val="000000" w:themeColor="text1"/>
                <w:sz w:val="20"/>
                <w:szCs w:val="20"/>
                <w:lang w:val="en-US" w:eastAsia="ru-RU"/>
              </w:rPr>
              <w:t>TIMSS</w:t>
            </w:r>
          </w:p>
        </w:tc>
        <w:tc>
          <w:tcPr>
            <w:tcW w:w="1842" w:type="dxa"/>
            <w:tcBorders>
              <w:top w:val="single" w:sz="4" w:space="0" w:color="auto"/>
            </w:tcBorders>
          </w:tcPr>
          <w:p w14:paraId="6DF3CDD5"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 xml:space="preserve">Spring </w:t>
            </w:r>
            <w:r w:rsidRPr="00B91089">
              <w:rPr>
                <w:color w:val="000000" w:themeColor="text1"/>
                <w:sz w:val="20"/>
                <w:szCs w:val="20"/>
                <w:lang w:val="en-US" w:eastAsia="ru-RU"/>
              </w:rPr>
              <w:br/>
              <w:t>2011</w:t>
            </w:r>
          </w:p>
        </w:tc>
        <w:tc>
          <w:tcPr>
            <w:tcW w:w="993" w:type="dxa"/>
            <w:tcBorders>
              <w:top w:val="single" w:sz="4" w:space="0" w:color="auto"/>
            </w:tcBorders>
          </w:tcPr>
          <w:p w14:paraId="3D2C5C44"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4,893</w:t>
            </w:r>
          </w:p>
        </w:tc>
        <w:tc>
          <w:tcPr>
            <w:tcW w:w="2640" w:type="dxa"/>
            <w:tcBorders>
              <w:top w:val="single" w:sz="4" w:space="0" w:color="auto"/>
            </w:tcBorders>
          </w:tcPr>
          <w:p w14:paraId="69DC6827"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8</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 (no tracking)</w:t>
            </w:r>
          </w:p>
        </w:tc>
        <w:tc>
          <w:tcPr>
            <w:tcW w:w="2463" w:type="dxa"/>
            <w:gridSpan w:val="2"/>
            <w:tcBorders>
              <w:top w:val="single" w:sz="4" w:space="0" w:color="auto"/>
            </w:tcBorders>
          </w:tcPr>
          <w:p w14:paraId="47949D00"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8</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 (no tracking)</w:t>
            </w:r>
          </w:p>
        </w:tc>
      </w:tr>
      <w:tr w:rsidR="00C35151" w:rsidRPr="00B91089" w14:paraId="4B5D40A9" w14:textId="77777777" w:rsidTr="00D17B7B">
        <w:tc>
          <w:tcPr>
            <w:tcW w:w="1617" w:type="dxa"/>
          </w:tcPr>
          <w:p w14:paraId="636CFD62" w14:textId="77777777" w:rsidR="00C35151" w:rsidRPr="00B91089" w:rsidRDefault="00C35151" w:rsidP="00D17B7B">
            <w:pPr>
              <w:spacing w:line="240" w:lineRule="auto"/>
              <w:ind w:firstLine="0"/>
              <w:jc w:val="left"/>
              <w:rPr>
                <w:color w:val="000000" w:themeColor="text1"/>
                <w:sz w:val="20"/>
                <w:szCs w:val="20"/>
                <w:lang w:val="en-US" w:eastAsia="ru-RU"/>
              </w:rPr>
            </w:pPr>
            <w:proofErr w:type="spellStart"/>
            <w:r w:rsidRPr="00B91089">
              <w:rPr>
                <w:color w:val="000000" w:themeColor="text1"/>
                <w:sz w:val="20"/>
                <w:szCs w:val="20"/>
                <w:lang w:val="en-US" w:eastAsia="ru-RU"/>
              </w:rPr>
              <w:t>TrEC</w:t>
            </w:r>
            <w:proofErr w:type="spellEnd"/>
            <w:r w:rsidRPr="00B91089">
              <w:rPr>
                <w:color w:val="000000" w:themeColor="text1"/>
                <w:sz w:val="20"/>
                <w:szCs w:val="20"/>
                <w:lang w:val="en-US" w:eastAsia="ru-RU"/>
              </w:rPr>
              <w:t xml:space="preserve"> Wave 1</w:t>
            </w:r>
          </w:p>
        </w:tc>
        <w:tc>
          <w:tcPr>
            <w:tcW w:w="1842" w:type="dxa"/>
          </w:tcPr>
          <w:p w14:paraId="67417C54"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Winter-Spring 2012</w:t>
            </w:r>
          </w:p>
        </w:tc>
        <w:tc>
          <w:tcPr>
            <w:tcW w:w="993" w:type="dxa"/>
          </w:tcPr>
          <w:p w14:paraId="564B99A7"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3,827</w:t>
            </w:r>
          </w:p>
        </w:tc>
        <w:tc>
          <w:tcPr>
            <w:tcW w:w="2640" w:type="dxa"/>
          </w:tcPr>
          <w:p w14:paraId="2D526E2A"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9</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 (no tracking)</w:t>
            </w:r>
          </w:p>
        </w:tc>
        <w:tc>
          <w:tcPr>
            <w:tcW w:w="2463" w:type="dxa"/>
            <w:gridSpan w:val="2"/>
          </w:tcPr>
          <w:p w14:paraId="4E591A92"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9</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 (no tracking)</w:t>
            </w:r>
          </w:p>
        </w:tc>
      </w:tr>
      <w:tr w:rsidR="00C35151" w:rsidRPr="00B91089" w14:paraId="46AE62FF" w14:textId="77777777" w:rsidTr="00D17B7B">
        <w:tc>
          <w:tcPr>
            <w:tcW w:w="1617" w:type="dxa"/>
          </w:tcPr>
          <w:p w14:paraId="53866344"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PISA</w:t>
            </w:r>
          </w:p>
        </w:tc>
        <w:tc>
          <w:tcPr>
            <w:tcW w:w="1842" w:type="dxa"/>
          </w:tcPr>
          <w:p w14:paraId="659B19AB"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 xml:space="preserve">Spring </w:t>
            </w:r>
            <w:r w:rsidRPr="00B91089">
              <w:rPr>
                <w:color w:val="000000" w:themeColor="text1"/>
                <w:sz w:val="20"/>
                <w:szCs w:val="20"/>
                <w:lang w:val="en-US" w:eastAsia="ru-RU"/>
              </w:rPr>
              <w:br/>
              <w:t>2012</w:t>
            </w:r>
          </w:p>
        </w:tc>
        <w:tc>
          <w:tcPr>
            <w:tcW w:w="993" w:type="dxa"/>
          </w:tcPr>
          <w:p w14:paraId="0A349987"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4,399</w:t>
            </w:r>
          </w:p>
        </w:tc>
        <w:tc>
          <w:tcPr>
            <w:tcW w:w="2640" w:type="dxa"/>
          </w:tcPr>
          <w:p w14:paraId="1EF292CE" w14:textId="77777777" w:rsidR="00C35151" w:rsidRPr="00B91089" w:rsidRDefault="00C35151" w:rsidP="00D17B7B">
            <w:pPr>
              <w:spacing w:line="240" w:lineRule="auto"/>
              <w:ind w:firstLine="0"/>
              <w:jc w:val="left"/>
              <w:rPr>
                <w:color w:val="000000" w:themeColor="text1"/>
                <w:sz w:val="20"/>
                <w:szCs w:val="20"/>
                <w:lang w:eastAsia="ru-RU"/>
              </w:rPr>
            </w:pPr>
            <w:r w:rsidRPr="00B91089">
              <w:rPr>
                <w:color w:val="000000" w:themeColor="text1"/>
                <w:sz w:val="20"/>
                <w:szCs w:val="20"/>
                <w:lang w:val="en-US" w:eastAsia="ru-RU"/>
              </w:rPr>
              <w:t>9</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 (no tracking)</w:t>
            </w:r>
          </w:p>
        </w:tc>
        <w:tc>
          <w:tcPr>
            <w:tcW w:w="2463" w:type="dxa"/>
            <w:gridSpan w:val="2"/>
          </w:tcPr>
          <w:p w14:paraId="5AF6BC9B"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9</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 (no tracking)</w:t>
            </w:r>
          </w:p>
        </w:tc>
      </w:tr>
      <w:tr w:rsidR="00C35151" w:rsidRPr="00B91089" w14:paraId="41CEB1B2" w14:textId="77777777" w:rsidTr="00D17B7B">
        <w:tc>
          <w:tcPr>
            <w:tcW w:w="1617" w:type="dxa"/>
          </w:tcPr>
          <w:p w14:paraId="2B189E90" w14:textId="77777777" w:rsidR="00C35151" w:rsidRPr="00B91089" w:rsidRDefault="00C35151" w:rsidP="00D17B7B">
            <w:pPr>
              <w:spacing w:line="240" w:lineRule="auto"/>
              <w:ind w:firstLine="0"/>
              <w:jc w:val="left"/>
              <w:rPr>
                <w:color w:val="000000" w:themeColor="text1"/>
                <w:sz w:val="20"/>
                <w:szCs w:val="20"/>
                <w:lang w:eastAsia="ru-RU"/>
              </w:rPr>
            </w:pPr>
            <w:proofErr w:type="spellStart"/>
            <w:r w:rsidRPr="00B91089">
              <w:rPr>
                <w:color w:val="000000" w:themeColor="text1"/>
                <w:sz w:val="20"/>
                <w:szCs w:val="20"/>
                <w:lang w:val="en-US" w:eastAsia="ru-RU"/>
              </w:rPr>
              <w:t>TrEC</w:t>
            </w:r>
            <w:proofErr w:type="spellEnd"/>
            <w:r w:rsidRPr="00B91089">
              <w:rPr>
                <w:color w:val="000000" w:themeColor="text1"/>
                <w:sz w:val="20"/>
                <w:szCs w:val="20"/>
                <w:lang w:val="en-US" w:eastAsia="ru-RU"/>
              </w:rPr>
              <w:t xml:space="preserve"> Wave 2</w:t>
            </w:r>
          </w:p>
        </w:tc>
        <w:tc>
          <w:tcPr>
            <w:tcW w:w="1842" w:type="dxa"/>
          </w:tcPr>
          <w:p w14:paraId="6A87D08D"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 xml:space="preserve">Autumn-Winter </w:t>
            </w:r>
            <w:r w:rsidRPr="00B91089">
              <w:rPr>
                <w:color w:val="000000" w:themeColor="text1"/>
                <w:sz w:val="20"/>
                <w:szCs w:val="20"/>
                <w:lang w:val="en-US" w:eastAsia="ru-RU"/>
              </w:rPr>
              <w:br/>
              <w:t>2013</w:t>
            </w:r>
          </w:p>
        </w:tc>
        <w:tc>
          <w:tcPr>
            <w:tcW w:w="993" w:type="dxa"/>
          </w:tcPr>
          <w:p w14:paraId="7758B40B"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4,138</w:t>
            </w:r>
          </w:p>
        </w:tc>
        <w:tc>
          <w:tcPr>
            <w:tcW w:w="2640" w:type="dxa"/>
          </w:tcPr>
          <w:p w14:paraId="21000FBF"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11</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w:t>
            </w:r>
          </w:p>
        </w:tc>
        <w:tc>
          <w:tcPr>
            <w:tcW w:w="2463" w:type="dxa"/>
            <w:gridSpan w:val="2"/>
          </w:tcPr>
          <w:p w14:paraId="1A68CEB5"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2</w:t>
            </w:r>
            <w:r w:rsidRPr="00B91089">
              <w:rPr>
                <w:color w:val="000000" w:themeColor="text1"/>
                <w:sz w:val="20"/>
                <w:szCs w:val="20"/>
                <w:vertAlign w:val="superscript"/>
                <w:lang w:val="en-US" w:eastAsia="ru-RU"/>
              </w:rPr>
              <w:t>nd</w:t>
            </w:r>
            <w:r w:rsidRPr="00B91089">
              <w:rPr>
                <w:color w:val="000000" w:themeColor="text1"/>
                <w:sz w:val="20"/>
                <w:szCs w:val="20"/>
                <w:lang w:val="en-US" w:eastAsia="ru-RU"/>
              </w:rPr>
              <w:t xml:space="preserve"> year in VE</w:t>
            </w:r>
          </w:p>
        </w:tc>
      </w:tr>
      <w:tr w:rsidR="00C35151" w:rsidRPr="00B91089" w14:paraId="46515076" w14:textId="77777777" w:rsidTr="00D17B7B">
        <w:tc>
          <w:tcPr>
            <w:tcW w:w="1617" w:type="dxa"/>
          </w:tcPr>
          <w:p w14:paraId="3183DF7E" w14:textId="77777777" w:rsidR="00C35151" w:rsidRPr="00B91089" w:rsidRDefault="00C35151" w:rsidP="00D17B7B">
            <w:pPr>
              <w:spacing w:line="240" w:lineRule="auto"/>
              <w:ind w:firstLine="0"/>
              <w:jc w:val="left"/>
              <w:rPr>
                <w:color w:val="000000" w:themeColor="text1"/>
                <w:sz w:val="20"/>
                <w:szCs w:val="20"/>
                <w:lang w:val="en-US" w:eastAsia="ru-RU"/>
              </w:rPr>
            </w:pPr>
            <w:proofErr w:type="spellStart"/>
            <w:r w:rsidRPr="00B91089">
              <w:rPr>
                <w:color w:val="000000" w:themeColor="text1"/>
                <w:sz w:val="20"/>
                <w:szCs w:val="20"/>
                <w:lang w:val="en-US" w:eastAsia="ru-RU"/>
              </w:rPr>
              <w:t>TrEC</w:t>
            </w:r>
            <w:proofErr w:type="spellEnd"/>
            <w:r w:rsidRPr="00B91089">
              <w:rPr>
                <w:color w:val="000000" w:themeColor="text1"/>
                <w:sz w:val="20"/>
                <w:szCs w:val="20"/>
                <w:lang w:val="en-US" w:eastAsia="ru-RU"/>
              </w:rPr>
              <w:t xml:space="preserve"> Wave 3</w:t>
            </w:r>
          </w:p>
        </w:tc>
        <w:tc>
          <w:tcPr>
            <w:tcW w:w="1842" w:type="dxa"/>
          </w:tcPr>
          <w:p w14:paraId="2B21B8D8"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Spring-Summer 2014</w:t>
            </w:r>
          </w:p>
        </w:tc>
        <w:tc>
          <w:tcPr>
            <w:tcW w:w="993" w:type="dxa"/>
          </w:tcPr>
          <w:p w14:paraId="47BD08AA"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4,239</w:t>
            </w:r>
          </w:p>
        </w:tc>
        <w:tc>
          <w:tcPr>
            <w:tcW w:w="2640" w:type="dxa"/>
          </w:tcPr>
          <w:p w14:paraId="3A024590"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11</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grade</w:t>
            </w:r>
          </w:p>
        </w:tc>
        <w:tc>
          <w:tcPr>
            <w:tcW w:w="2463" w:type="dxa"/>
            <w:gridSpan w:val="2"/>
          </w:tcPr>
          <w:p w14:paraId="04337D0F"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2</w:t>
            </w:r>
            <w:r w:rsidRPr="00B91089">
              <w:rPr>
                <w:color w:val="000000" w:themeColor="text1"/>
                <w:sz w:val="20"/>
                <w:szCs w:val="20"/>
                <w:vertAlign w:val="superscript"/>
                <w:lang w:val="en-US" w:eastAsia="ru-RU"/>
              </w:rPr>
              <w:t>nd</w:t>
            </w:r>
            <w:r w:rsidRPr="00B91089">
              <w:rPr>
                <w:color w:val="000000" w:themeColor="text1"/>
                <w:sz w:val="20"/>
                <w:szCs w:val="20"/>
                <w:lang w:val="en-US" w:eastAsia="ru-RU"/>
              </w:rPr>
              <w:t xml:space="preserve"> year in VE</w:t>
            </w:r>
          </w:p>
        </w:tc>
      </w:tr>
      <w:tr w:rsidR="00C35151" w:rsidRPr="00B91089" w14:paraId="217624A7" w14:textId="77777777" w:rsidTr="00D17B7B">
        <w:tc>
          <w:tcPr>
            <w:tcW w:w="1617" w:type="dxa"/>
          </w:tcPr>
          <w:p w14:paraId="3888988F" w14:textId="77777777" w:rsidR="00C35151" w:rsidRPr="00B91089" w:rsidRDefault="00C35151" w:rsidP="00D17B7B">
            <w:pPr>
              <w:spacing w:line="240" w:lineRule="auto"/>
              <w:ind w:firstLine="0"/>
              <w:jc w:val="left"/>
              <w:rPr>
                <w:color w:val="000000" w:themeColor="text1"/>
                <w:sz w:val="20"/>
                <w:szCs w:val="20"/>
                <w:lang w:eastAsia="ru-RU"/>
              </w:rPr>
            </w:pPr>
            <w:proofErr w:type="spellStart"/>
            <w:r w:rsidRPr="00B91089">
              <w:rPr>
                <w:color w:val="000000" w:themeColor="text1"/>
                <w:sz w:val="20"/>
                <w:szCs w:val="20"/>
                <w:lang w:val="en-US" w:eastAsia="ru-RU"/>
              </w:rPr>
              <w:t>TrEC</w:t>
            </w:r>
            <w:proofErr w:type="spellEnd"/>
            <w:r w:rsidRPr="00B91089">
              <w:rPr>
                <w:color w:val="000000" w:themeColor="text1"/>
                <w:sz w:val="20"/>
                <w:szCs w:val="20"/>
                <w:lang w:val="en-US" w:eastAsia="ru-RU"/>
              </w:rPr>
              <w:t xml:space="preserve"> Wave 4 </w:t>
            </w:r>
          </w:p>
        </w:tc>
        <w:tc>
          <w:tcPr>
            <w:tcW w:w="1842" w:type="dxa"/>
          </w:tcPr>
          <w:p w14:paraId="6B5169AF"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 xml:space="preserve">Autumn </w:t>
            </w:r>
            <w:r w:rsidRPr="00B91089">
              <w:rPr>
                <w:color w:val="000000" w:themeColor="text1"/>
                <w:sz w:val="20"/>
                <w:szCs w:val="20"/>
                <w:lang w:val="en-US" w:eastAsia="ru-RU"/>
              </w:rPr>
              <w:br/>
              <w:t>2015</w:t>
            </w:r>
          </w:p>
        </w:tc>
        <w:tc>
          <w:tcPr>
            <w:tcW w:w="993" w:type="dxa"/>
          </w:tcPr>
          <w:p w14:paraId="2D504035"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3,618</w:t>
            </w:r>
          </w:p>
        </w:tc>
        <w:tc>
          <w:tcPr>
            <w:tcW w:w="2640" w:type="dxa"/>
          </w:tcPr>
          <w:p w14:paraId="7ABBFECD"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2</w:t>
            </w:r>
            <w:r w:rsidRPr="00B91089">
              <w:rPr>
                <w:color w:val="000000" w:themeColor="text1"/>
                <w:sz w:val="20"/>
                <w:szCs w:val="20"/>
                <w:vertAlign w:val="superscript"/>
                <w:lang w:val="en-US" w:eastAsia="ru-RU"/>
              </w:rPr>
              <w:t>nd</w:t>
            </w:r>
            <w:r w:rsidRPr="00B91089">
              <w:rPr>
                <w:color w:val="000000" w:themeColor="text1"/>
                <w:sz w:val="20"/>
                <w:szCs w:val="20"/>
                <w:lang w:val="en-US" w:eastAsia="ru-RU"/>
              </w:rPr>
              <w:t xml:space="preserve"> year in VE</w:t>
            </w:r>
          </w:p>
        </w:tc>
        <w:tc>
          <w:tcPr>
            <w:tcW w:w="2463" w:type="dxa"/>
            <w:gridSpan w:val="2"/>
          </w:tcPr>
          <w:p w14:paraId="192AFE9A"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4</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year in VE</w:t>
            </w:r>
          </w:p>
        </w:tc>
      </w:tr>
      <w:tr w:rsidR="00C35151" w:rsidRPr="00B91089" w14:paraId="6F7EC7AC" w14:textId="77777777" w:rsidTr="00D17B7B">
        <w:tc>
          <w:tcPr>
            <w:tcW w:w="1617" w:type="dxa"/>
            <w:tcBorders>
              <w:bottom w:val="single" w:sz="4" w:space="0" w:color="auto"/>
            </w:tcBorders>
          </w:tcPr>
          <w:p w14:paraId="4C68D1D1" w14:textId="77777777" w:rsidR="00C35151" w:rsidRPr="00B91089" w:rsidRDefault="00C35151" w:rsidP="00D17B7B">
            <w:pPr>
              <w:spacing w:line="240" w:lineRule="auto"/>
              <w:ind w:firstLine="0"/>
              <w:jc w:val="left"/>
              <w:rPr>
                <w:color w:val="000000" w:themeColor="text1"/>
                <w:sz w:val="20"/>
                <w:szCs w:val="20"/>
                <w:lang w:val="en-US" w:eastAsia="ru-RU"/>
              </w:rPr>
            </w:pPr>
            <w:proofErr w:type="spellStart"/>
            <w:r w:rsidRPr="00B91089">
              <w:rPr>
                <w:color w:val="000000" w:themeColor="text1"/>
                <w:sz w:val="20"/>
                <w:szCs w:val="20"/>
                <w:lang w:val="en-US" w:eastAsia="ru-RU"/>
              </w:rPr>
              <w:t>TrEC</w:t>
            </w:r>
            <w:proofErr w:type="spellEnd"/>
            <w:r w:rsidRPr="00B91089">
              <w:rPr>
                <w:color w:val="000000" w:themeColor="text1"/>
                <w:sz w:val="20"/>
                <w:szCs w:val="20"/>
                <w:lang w:val="en-US" w:eastAsia="ru-RU"/>
              </w:rPr>
              <w:t xml:space="preserve"> Wave 5</w:t>
            </w:r>
          </w:p>
        </w:tc>
        <w:tc>
          <w:tcPr>
            <w:tcW w:w="1842" w:type="dxa"/>
            <w:tcBorders>
              <w:bottom w:val="single" w:sz="4" w:space="0" w:color="auto"/>
            </w:tcBorders>
          </w:tcPr>
          <w:p w14:paraId="6C460CC6"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Autumn</w:t>
            </w:r>
            <w:r w:rsidRPr="00B91089">
              <w:rPr>
                <w:color w:val="000000" w:themeColor="text1"/>
                <w:sz w:val="20"/>
                <w:szCs w:val="20"/>
                <w:lang w:val="en-US" w:eastAsia="ru-RU"/>
              </w:rPr>
              <w:br/>
              <w:t>2016</w:t>
            </w:r>
          </w:p>
        </w:tc>
        <w:tc>
          <w:tcPr>
            <w:tcW w:w="993" w:type="dxa"/>
            <w:tcBorders>
              <w:bottom w:val="single" w:sz="4" w:space="0" w:color="auto"/>
            </w:tcBorders>
          </w:tcPr>
          <w:p w14:paraId="5664FD91"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3,866</w:t>
            </w:r>
          </w:p>
        </w:tc>
        <w:tc>
          <w:tcPr>
            <w:tcW w:w="2640" w:type="dxa"/>
            <w:tcBorders>
              <w:bottom w:val="single" w:sz="4" w:space="0" w:color="auto"/>
            </w:tcBorders>
          </w:tcPr>
          <w:p w14:paraId="7B608441"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3</w:t>
            </w:r>
            <w:r w:rsidRPr="00B91089">
              <w:rPr>
                <w:color w:val="000000" w:themeColor="text1"/>
                <w:sz w:val="20"/>
                <w:szCs w:val="20"/>
                <w:vertAlign w:val="superscript"/>
                <w:lang w:val="en-US" w:eastAsia="ru-RU"/>
              </w:rPr>
              <w:t>rd</w:t>
            </w:r>
            <w:r w:rsidRPr="00B91089">
              <w:rPr>
                <w:color w:val="000000" w:themeColor="text1"/>
                <w:sz w:val="20"/>
                <w:szCs w:val="20"/>
                <w:lang w:val="en-US" w:eastAsia="ru-RU"/>
              </w:rPr>
              <w:t xml:space="preserve"> year in HE</w:t>
            </w:r>
          </w:p>
        </w:tc>
        <w:tc>
          <w:tcPr>
            <w:tcW w:w="2463" w:type="dxa"/>
            <w:gridSpan w:val="2"/>
            <w:tcBorders>
              <w:bottom w:val="single" w:sz="4" w:space="0" w:color="auto"/>
            </w:tcBorders>
          </w:tcPr>
          <w:p w14:paraId="40BEB6FC"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color w:val="000000" w:themeColor="text1"/>
                <w:sz w:val="20"/>
                <w:szCs w:val="20"/>
                <w:lang w:val="en-US" w:eastAsia="ru-RU"/>
              </w:rPr>
              <w:t>5</w:t>
            </w:r>
            <w:r w:rsidRPr="00B91089">
              <w:rPr>
                <w:color w:val="000000" w:themeColor="text1"/>
                <w:sz w:val="20"/>
                <w:szCs w:val="20"/>
                <w:vertAlign w:val="superscript"/>
                <w:lang w:val="en-US" w:eastAsia="ru-RU"/>
              </w:rPr>
              <w:t>th</w:t>
            </w:r>
            <w:r w:rsidRPr="00B91089">
              <w:rPr>
                <w:color w:val="000000" w:themeColor="text1"/>
                <w:sz w:val="20"/>
                <w:szCs w:val="20"/>
                <w:lang w:val="en-US" w:eastAsia="ru-RU"/>
              </w:rPr>
              <w:t xml:space="preserve"> year in VE</w:t>
            </w:r>
          </w:p>
        </w:tc>
      </w:tr>
      <w:tr w:rsidR="00C35151" w:rsidRPr="00B91089" w14:paraId="39889DDD" w14:textId="77777777" w:rsidTr="00D17B7B">
        <w:trPr>
          <w:gridAfter w:val="1"/>
          <w:wAfter w:w="1079" w:type="dxa"/>
        </w:trPr>
        <w:tc>
          <w:tcPr>
            <w:tcW w:w="8476" w:type="dxa"/>
            <w:gridSpan w:val="5"/>
            <w:tcBorders>
              <w:top w:val="single" w:sz="4" w:space="0" w:color="auto"/>
            </w:tcBorders>
          </w:tcPr>
          <w:p w14:paraId="6DBF016D" w14:textId="77777777" w:rsidR="00C35151" w:rsidRPr="00B91089" w:rsidRDefault="00C35151" w:rsidP="00D17B7B">
            <w:pPr>
              <w:spacing w:line="240" w:lineRule="auto"/>
              <w:ind w:firstLine="0"/>
              <w:jc w:val="left"/>
              <w:rPr>
                <w:color w:val="000000" w:themeColor="text1"/>
                <w:sz w:val="20"/>
                <w:szCs w:val="20"/>
                <w:lang w:val="en-US" w:eastAsia="ru-RU"/>
              </w:rPr>
            </w:pPr>
            <w:r w:rsidRPr="00B91089">
              <w:rPr>
                <w:i/>
                <w:color w:val="000000" w:themeColor="text1"/>
                <w:sz w:val="20"/>
                <w:szCs w:val="20"/>
                <w:lang w:val="en-US" w:eastAsia="ru-RU"/>
              </w:rPr>
              <w:t>Notes:</w:t>
            </w:r>
            <w:r w:rsidRPr="00B91089">
              <w:rPr>
                <w:color w:val="000000" w:themeColor="text1"/>
                <w:sz w:val="20"/>
                <w:szCs w:val="20"/>
                <w:lang w:val="en-US" w:eastAsia="ru-RU"/>
              </w:rPr>
              <w:t xml:space="preserve"> HE = higher education. VE = vocational education. 1) Sample size only includes cases matched to the original TIMSS sample. 2) Expected status at the time of survey.</w:t>
            </w:r>
          </w:p>
          <w:p w14:paraId="53A69AAC" w14:textId="77777777" w:rsidR="00C35151" w:rsidRPr="00B91089" w:rsidRDefault="00C35151" w:rsidP="00D17B7B">
            <w:pPr>
              <w:spacing w:line="240" w:lineRule="auto"/>
              <w:ind w:firstLine="0"/>
              <w:jc w:val="left"/>
              <w:rPr>
                <w:color w:val="000000" w:themeColor="text1"/>
                <w:sz w:val="20"/>
                <w:szCs w:val="20"/>
                <w:lang w:val="en-US" w:eastAsia="ru-RU"/>
              </w:rPr>
            </w:pPr>
          </w:p>
        </w:tc>
      </w:tr>
    </w:tbl>
    <w:p w14:paraId="491CF7E8" w14:textId="77777777" w:rsidR="00C35151" w:rsidRPr="00635061" w:rsidRDefault="00C35151" w:rsidP="00C35151">
      <w:pPr>
        <w:ind w:firstLine="0"/>
        <w:rPr>
          <w:lang w:val="en-US"/>
        </w:rPr>
      </w:pPr>
    </w:p>
    <w:p w14:paraId="6EAEA2E9" w14:textId="77777777" w:rsidR="00C35151" w:rsidRDefault="00C35151" w:rsidP="00C35151">
      <w:pPr>
        <w:spacing w:line="240" w:lineRule="auto"/>
        <w:ind w:right="990" w:firstLine="0"/>
        <w:jc w:val="left"/>
        <w:rPr>
          <w:b/>
          <w:lang w:val="en-US"/>
        </w:rPr>
      </w:pPr>
      <w:proofErr w:type="gramStart"/>
      <w:r w:rsidRPr="001C6E23">
        <w:rPr>
          <w:b/>
          <w:lang w:val="en-US"/>
        </w:rPr>
        <w:t>Table 2.</w:t>
      </w:r>
      <w:proofErr w:type="gramEnd"/>
      <w:r w:rsidRPr="001C6E23">
        <w:rPr>
          <w:b/>
          <w:lang w:val="en-US"/>
        </w:rPr>
        <w:t xml:space="preserve"> </w:t>
      </w:r>
      <w:r>
        <w:rPr>
          <w:b/>
          <w:lang w:val="en-US"/>
        </w:rPr>
        <w:t>Real and aspired e</w:t>
      </w:r>
      <w:r w:rsidRPr="001C6E23">
        <w:rPr>
          <w:b/>
          <w:lang w:val="en-US"/>
        </w:rPr>
        <w:t xml:space="preserve">ducational </w:t>
      </w:r>
      <w:r>
        <w:rPr>
          <w:b/>
          <w:lang w:val="en-US"/>
        </w:rPr>
        <w:t>transitions of students</w:t>
      </w:r>
    </w:p>
    <w:p w14:paraId="3CACB291" w14:textId="77777777" w:rsidR="00C35151" w:rsidRPr="001C6E23" w:rsidRDefault="00C35151" w:rsidP="00C35151">
      <w:pPr>
        <w:spacing w:line="240" w:lineRule="auto"/>
        <w:ind w:firstLine="0"/>
        <w:rPr>
          <w:b/>
          <w:lang w:val="en-US"/>
        </w:rPr>
      </w:pPr>
    </w:p>
    <w:tbl>
      <w:tblPr>
        <w:tblStyle w:val="TableGrid"/>
        <w:tblW w:w="0" w:type="auto"/>
        <w:tblInd w:w="5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2268"/>
        <w:gridCol w:w="2082"/>
        <w:gridCol w:w="2083"/>
      </w:tblGrid>
      <w:tr w:rsidR="00C35151" w:rsidRPr="00256D32" w14:paraId="3E335D07" w14:textId="77777777" w:rsidTr="00D17B7B">
        <w:tc>
          <w:tcPr>
            <w:tcW w:w="2694" w:type="dxa"/>
            <w:vMerge w:val="restart"/>
            <w:tcMar>
              <w:top w:w="57" w:type="dxa"/>
              <w:left w:w="57" w:type="dxa"/>
              <w:bottom w:w="57" w:type="dxa"/>
              <w:right w:w="57" w:type="dxa"/>
            </w:tcMar>
            <w:vAlign w:val="center"/>
          </w:tcPr>
          <w:p w14:paraId="484B2A22" w14:textId="77777777" w:rsidR="00C35151" w:rsidRPr="00086B7A" w:rsidRDefault="00C35151" w:rsidP="00D17B7B">
            <w:pPr>
              <w:spacing w:line="240" w:lineRule="auto"/>
              <w:ind w:firstLine="0"/>
              <w:jc w:val="left"/>
              <w:rPr>
                <w:b/>
                <w:color w:val="000000" w:themeColor="text1"/>
                <w:sz w:val="20"/>
                <w:szCs w:val="20"/>
                <w:lang w:val="en-US"/>
              </w:rPr>
            </w:pPr>
            <w:r w:rsidRPr="00086B7A">
              <w:rPr>
                <w:b/>
                <w:color w:val="000000" w:themeColor="text1"/>
                <w:sz w:val="20"/>
                <w:szCs w:val="20"/>
                <w:lang w:val="en-US"/>
              </w:rPr>
              <w:t>Educational pathway</w:t>
            </w:r>
          </w:p>
        </w:tc>
        <w:tc>
          <w:tcPr>
            <w:tcW w:w="2268" w:type="dxa"/>
            <w:vMerge w:val="restart"/>
            <w:vAlign w:val="center"/>
          </w:tcPr>
          <w:p w14:paraId="069C42CE" w14:textId="77777777" w:rsidR="00C35151" w:rsidRPr="00086B7A" w:rsidRDefault="00C35151" w:rsidP="00D17B7B">
            <w:pPr>
              <w:spacing w:line="240" w:lineRule="auto"/>
              <w:ind w:firstLine="0"/>
              <w:jc w:val="center"/>
              <w:rPr>
                <w:b/>
                <w:color w:val="000000" w:themeColor="text1"/>
                <w:sz w:val="20"/>
                <w:szCs w:val="20"/>
                <w:vertAlign w:val="superscript"/>
                <w:lang w:val="en-US"/>
              </w:rPr>
            </w:pPr>
            <w:r>
              <w:rPr>
                <w:b/>
                <w:color w:val="000000" w:themeColor="text1"/>
                <w:sz w:val="20"/>
                <w:szCs w:val="20"/>
                <w:lang w:val="en-US"/>
              </w:rPr>
              <w:t>Real transitions in</w:t>
            </w:r>
            <w:r w:rsidRPr="00086B7A">
              <w:rPr>
                <w:b/>
                <w:color w:val="000000" w:themeColor="text1"/>
                <w:sz w:val="20"/>
                <w:szCs w:val="20"/>
                <w:lang w:val="en-US"/>
              </w:rPr>
              <w:t xml:space="preserve"> Wave 5 </w:t>
            </w:r>
            <w:r w:rsidRPr="001A190B">
              <w:rPr>
                <w:b/>
                <w:color w:val="000000" w:themeColor="text1"/>
                <w:sz w:val="20"/>
                <w:szCs w:val="20"/>
                <w:vertAlign w:val="superscript"/>
                <w:lang w:val="en-US"/>
              </w:rPr>
              <w:t>1)</w:t>
            </w:r>
          </w:p>
        </w:tc>
        <w:tc>
          <w:tcPr>
            <w:tcW w:w="4165" w:type="dxa"/>
            <w:gridSpan w:val="2"/>
            <w:tcBorders>
              <w:bottom w:val="single" w:sz="4" w:space="0" w:color="auto"/>
            </w:tcBorders>
            <w:tcMar>
              <w:top w:w="57" w:type="dxa"/>
              <w:left w:w="57" w:type="dxa"/>
              <w:bottom w:w="57" w:type="dxa"/>
              <w:right w:w="57" w:type="dxa"/>
            </w:tcMar>
            <w:vAlign w:val="center"/>
          </w:tcPr>
          <w:p w14:paraId="33BB9441" w14:textId="77777777" w:rsidR="00C35151" w:rsidRPr="00086B7A" w:rsidRDefault="00C35151" w:rsidP="00D17B7B">
            <w:pPr>
              <w:spacing w:line="240" w:lineRule="auto"/>
              <w:ind w:firstLine="0"/>
              <w:jc w:val="center"/>
              <w:rPr>
                <w:b/>
                <w:color w:val="000000" w:themeColor="text1"/>
                <w:sz w:val="20"/>
                <w:szCs w:val="20"/>
                <w:vertAlign w:val="superscript"/>
                <w:lang w:val="en-US"/>
              </w:rPr>
            </w:pPr>
            <w:r w:rsidRPr="00086B7A">
              <w:rPr>
                <w:b/>
                <w:color w:val="000000" w:themeColor="text1"/>
                <w:sz w:val="20"/>
                <w:szCs w:val="20"/>
                <w:lang w:val="en-US"/>
              </w:rPr>
              <w:t xml:space="preserve">Aspired transitions </w:t>
            </w:r>
            <w:r w:rsidRPr="00086B7A">
              <w:rPr>
                <w:b/>
                <w:color w:val="000000" w:themeColor="text1"/>
                <w:sz w:val="20"/>
                <w:szCs w:val="20"/>
                <w:lang w:val="en-US"/>
              </w:rPr>
              <w:br/>
              <w:t xml:space="preserve">reported in Wave 2 </w:t>
            </w:r>
            <w:r w:rsidRPr="001A190B">
              <w:rPr>
                <w:b/>
                <w:color w:val="000000" w:themeColor="text1"/>
                <w:sz w:val="20"/>
                <w:szCs w:val="20"/>
                <w:vertAlign w:val="superscript"/>
                <w:lang w:val="en-US"/>
              </w:rPr>
              <w:t>2)</w:t>
            </w:r>
          </w:p>
        </w:tc>
      </w:tr>
      <w:tr w:rsidR="00C35151" w:rsidRPr="00256D32" w14:paraId="374C4C6E" w14:textId="77777777" w:rsidTr="00D17B7B">
        <w:tc>
          <w:tcPr>
            <w:tcW w:w="2694" w:type="dxa"/>
            <w:vMerge/>
            <w:tcMar>
              <w:top w:w="57" w:type="dxa"/>
              <w:left w:w="57" w:type="dxa"/>
              <w:bottom w:w="57" w:type="dxa"/>
              <w:right w:w="57" w:type="dxa"/>
            </w:tcMar>
            <w:vAlign w:val="center"/>
          </w:tcPr>
          <w:p w14:paraId="5384A019" w14:textId="77777777" w:rsidR="00C35151" w:rsidRPr="00086B7A" w:rsidRDefault="00C35151" w:rsidP="00D17B7B">
            <w:pPr>
              <w:spacing w:line="240" w:lineRule="auto"/>
              <w:ind w:firstLine="0"/>
              <w:jc w:val="left"/>
              <w:rPr>
                <w:b/>
                <w:color w:val="000000" w:themeColor="text1"/>
                <w:sz w:val="20"/>
                <w:szCs w:val="20"/>
                <w:lang w:val="en-US"/>
              </w:rPr>
            </w:pPr>
          </w:p>
        </w:tc>
        <w:tc>
          <w:tcPr>
            <w:tcW w:w="2268" w:type="dxa"/>
            <w:vMerge/>
            <w:vAlign w:val="center"/>
          </w:tcPr>
          <w:p w14:paraId="21FEAEA8" w14:textId="77777777" w:rsidR="00C35151" w:rsidRPr="00086B7A" w:rsidRDefault="00C35151" w:rsidP="00D17B7B">
            <w:pPr>
              <w:spacing w:line="240" w:lineRule="auto"/>
              <w:ind w:firstLine="0"/>
              <w:jc w:val="center"/>
              <w:rPr>
                <w:b/>
                <w:color w:val="000000" w:themeColor="text1"/>
                <w:sz w:val="20"/>
                <w:szCs w:val="20"/>
                <w:lang w:val="en-US"/>
              </w:rPr>
            </w:pPr>
          </w:p>
        </w:tc>
        <w:tc>
          <w:tcPr>
            <w:tcW w:w="2082" w:type="dxa"/>
            <w:tcBorders>
              <w:top w:val="single" w:sz="4" w:space="0" w:color="auto"/>
            </w:tcBorders>
            <w:tcMar>
              <w:top w:w="57" w:type="dxa"/>
              <w:left w:w="57" w:type="dxa"/>
              <w:bottom w:w="57" w:type="dxa"/>
              <w:right w:w="57" w:type="dxa"/>
            </w:tcMar>
            <w:vAlign w:val="center"/>
          </w:tcPr>
          <w:p w14:paraId="427F3920" w14:textId="77777777" w:rsidR="00C35151" w:rsidRPr="00086B7A" w:rsidRDefault="00C35151" w:rsidP="00D17B7B">
            <w:pPr>
              <w:spacing w:line="240" w:lineRule="auto"/>
              <w:ind w:firstLine="0"/>
              <w:jc w:val="center"/>
              <w:rPr>
                <w:b/>
                <w:color w:val="000000" w:themeColor="text1"/>
                <w:sz w:val="20"/>
                <w:szCs w:val="20"/>
                <w:lang w:val="en-US"/>
              </w:rPr>
            </w:pPr>
            <w:r w:rsidRPr="00086B7A">
              <w:rPr>
                <w:b/>
                <w:color w:val="000000" w:themeColor="text1"/>
                <w:sz w:val="20"/>
                <w:szCs w:val="20"/>
                <w:lang w:val="en-US"/>
              </w:rPr>
              <w:t xml:space="preserve">as percent of respondents </w:t>
            </w:r>
            <w:r w:rsidRPr="00086B7A">
              <w:rPr>
                <w:b/>
                <w:color w:val="000000" w:themeColor="text1"/>
                <w:sz w:val="20"/>
                <w:szCs w:val="20"/>
                <w:lang w:val="en-US"/>
              </w:rPr>
              <w:br/>
              <w:t>in Wave 5</w:t>
            </w:r>
          </w:p>
        </w:tc>
        <w:tc>
          <w:tcPr>
            <w:tcW w:w="2083" w:type="dxa"/>
            <w:tcBorders>
              <w:top w:val="single" w:sz="4" w:space="0" w:color="auto"/>
            </w:tcBorders>
            <w:tcMar>
              <w:top w:w="57" w:type="dxa"/>
              <w:left w:w="57" w:type="dxa"/>
              <w:bottom w:w="57" w:type="dxa"/>
              <w:right w:w="57" w:type="dxa"/>
            </w:tcMar>
            <w:vAlign w:val="center"/>
          </w:tcPr>
          <w:p w14:paraId="25BF4F27" w14:textId="77777777" w:rsidR="00C35151" w:rsidRPr="00086B7A" w:rsidRDefault="00C35151" w:rsidP="00D17B7B">
            <w:pPr>
              <w:spacing w:line="240" w:lineRule="auto"/>
              <w:ind w:firstLine="0"/>
              <w:jc w:val="center"/>
              <w:rPr>
                <w:b/>
                <w:color w:val="000000" w:themeColor="text1"/>
                <w:sz w:val="20"/>
                <w:szCs w:val="20"/>
                <w:lang w:val="en-US"/>
              </w:rPr>
            </w:pPr>
            <w:r w:rsidRPr="00086B7A">
              <w:rPr>
                <w:b/>
                <w:color w:val="000000" w:themeColor="text1"/>
                <w:sz w:val="20"/>
                <w:szCs w:val="20"/>
                <w:lang w:val="en-US"/>
              </w:rPr>
              <w:t xml:space="preserve">as percent of </w:t>
            </w:r>
            <w:r>
              <w:rPr>
                <w:b/>
                <w:color w:val="000000" w:themeColor="text1"/>
                <w:sz w:val="20"/>
                <w:szCs w:val="20"/>
                <w:lang w:val="en-US"/>
              </w:rPr>
              <w:br/>
            </w:r>
            <w:r w:rsidRPr="001A190B">
              <w:rPr>
                <w:b/>
                <w:i/>
                <w:color w:val="000000" w:themeColor="text1"/>
                <w:sz w:val="20"/>
                <w:szCs w:val="20"/>
                <w:lang w:val="en-US"/>
              </w:rPr>
              <w:t>non</w:t>
            </w:r>
            <w:r>
              <w:rPr>
                <w:b/>
                <w:color w:val="000000" w:themeColor="text1"/>
                <w:sz w:val="20"/>
                <w:szCs w:val="20"/>
                <w:lang w:val="en-US"/>
              </w:rPr>
              <w:t xml:space="preserve">-respondents </w:t>
            </w:r>
            <w:r>
              <w:rPr>
                <w:b/>
                <w:color w:val="000000" w:themeColor="text1"/>
                <w:sz w:val="20"/>
                <w:szCs w:val="20"/>
                <w:lang w:val="en-US"/>
              </w:rPr>
              <w:br/>
              <w:t>in Wave5</w:t>
            </w:r>
          </w:p>
        </w:tc>
      </w:tr>
      <w:tr w:rsidR="00C35151" w:rsidRPr="00086B7A" w14:paraId="0F99368C" w14:textId="77777777" w:rsidTr="00D17B7B">
        <w:tc>
          <w:tcPr>
            <w:tcW w:w="2694" w:type="dxa"/>
            <w:tcBorders>
              <w:bottom w:val="nil"/>
            </w:tcBorders>
            <w:tcMar>
              <w:top w:w="57" w:type="dxa"/>
              <w:left w:w="57" w:type="dxa"/>
              <w:bottom w:w="57" w:type="dxa"/>
              <w:right w:w="57" w:type="dxa"/>
            </w:tcMar>
            <w:vAlign w:val="center"/>
          </w:tcPr>
          <w:p w14:paraId="051CF9D2" w14:textId="77777777" w:rsidR="00C35151" w:rsidRPr="00086B7A" w:rsidRDefault="00C35151" w:rsidP="00D17B7B">
            <w:pPr>
              <w:spacing w:line="240" w:lineRule="auto"/>
              <w:ind w:firstLine="0"/>
              <w:jc w:val="left"/>
              <w:rPr>
                <w:color w:val="000000" w:themeColor="text1"/>
                <w:sz w:val="20"/>
                <w:szCs w:val="20"/>
                <w:lang w:val="en-US"/>
              </w:rPr>
            </w:pPr>
            <w:r>
              <w:rPr>
                <w:color w:val="000000" w:themeColor="text1"/>
                <w:sz w:val="20"/>
                <w:szCs w:val="20"/>
                <w:lang w:val="en-US"/>
              </w:rPr>
              <w:t xml:space="preserve">Academic </w:t>
            </w:r>
            <w:r w:rsidRPr="00086B7A">
              <w:rPr>
                <w:color w:val="000000" w:themeColor="text1"/>
                <w:sz w:val="20"/>
                <w:szCs w:val="20"/>
                <w:lang w:val="en-US"/>
              </w:rPr>
              <w:t xml:space="preserve">pathway </w:t>
            </w:r>
          </w:p>
        </w:tc>
        <w:tc>
          <w:tcPr>
            <w:tcW w:w="2268" w:type="dxa"/>
            <w:tcBorders>
              <w:bottom w:val="nil"/>
            </w:tcBorders>
            <w:vAlign w:val="center"/>
          </w:tcPr>
          <w:p w14:paraId="43A8A94F"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51</w:t>
            </w:r>
            <w:r w:rsidRPr="00086B7A">
              <w:rPr>
                <w:color w:val="000000" w:themeColor="text1"/>
                <w:sz w:val="20"/>
                <w:szCs w:val="20"/>
                <w:lang w:val="en-US"/>
              </w:rPr>
              <w:t>.</w:t>
            </w:r>
            <w:r>
              <w:rPr>
                <w:color w:val="000000" w:themeColor="text1"/>
                <w:sz w:val="20"/>
                <w:szCs w:val="20"/>
                <w:lang w:val="en-US"/>
              </w:rPr>
              <w:t>6</w:t>
            </w:r>
            <w:r w:rsidRPr="00086B7A">
              <w:rPr>
                <w:color w:val="000000" w:themeColor="text1"/>
                <w:sz w:val="20"/>
                <w:szCs w:val="20"/>
                <w:lang w:val="en-US"/>
              </w:rPr>
              <w:t>%</w:t>
            </w:r>
          </w:p>
        </w:tc>
        <w:tc>
          <w:tcPr>
            <w:tcW w:w="2082" w:type="dxa"/>
            <w:tcBorders>
              <w:bottom w:val="nil"/>
            </w:tcBorders>
            <w:tcMar>
              <w:top w:w="57" w:type="dxa"/>
              <w:left w:w="57" w:type="dxa"/>
              <w:bottom w:w="57" w:type="dxa"/>
              <w:right w:w="57" w:type="dxa"/>
            </w:tcMar>
            <w:vAlign w:val="center"/>
          </w:tcPr>
          <w:p w14:paraId="38740222"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66.0%</w:t>
            </w:r>
          </w:p>
        </w:tc>
        <w:tc>
          <w:tcPr>
            <w:tcW w:w="2083" w:type="dxa"/>
            <w:tcBorders>
              <w:bottom w:val="nil"/>
            </w:tcBorders>
            <w:tcMar>
              <w:top w:w="57" w:type="dxa"/>
              <w:left w:w="57" w:type="dxa"/>
              <w:bottom w:w="57" w:type="dxa"/>
              <w:right w:w="57" w:type="dxa"/>
            </w:tcMar>
            <w:vAlign w:val="center"/>
          </w:tcPr>
          <w:p w14:paraId="5582A24D"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46</w:t>
            </w:r>
            <w:r w:rsidRPr="00086B7A">
              <w:rPr>
                <w:color w:val="000000" w:themeColor="text1"/>
                <w:sz w:val="20"/>
                <w:szCs w:val="20"/>
                <w:lang w:val="en-US"/>
              </w:rPr>
              <w:t>.</w:t>
            </w:r>
            <w:r>
              <w:rPr>
                <w:color w:val="000000" w:themeColor="text1"/>
                <w:sz w:val="20"/>
                <w:szCs w:val="20"/>
                <w:lang w:val="en-US"/>
              </w:rPr>
              <w:t>4</w:t>
            </w:r>
            <w:r w:rsidRPr="00086B7A">
              <w:rPr>
                <w:color w:val="000000" w:themeColor="text1"/>
                <w:sz w:val="20"/>
                <w:szCs w:val="20"/>
                <w:lang w:val="en-US"/>
              </w:rPr>
              <w:t>%</w:t>
            </w:r>
          </w:p>
        </w:tc>
      </w:tr>
      <w:tr w:rsidR="00C35151" w:rsidRPr="00086B7A" w14:paraId="3C3F94A5" w14:textId="77777777" w:rsidTr="00D17B7B">
        <w:tc>
          <w:tcPr>
            <w:tcW w:w="2694" w:type="dxa"/>
            <w:tcBorders>
              <w:top w:val="nil"/>
              <w:bottom w:val="nil"/>
            </w:tcBorders>
            <w:tcMar>
              <w:top w:w="57" w:type="dxa"/>
              <w:left w:w="57" w:type="dxa"/>
              <w:bottom w:w="57" w:type="dxa"/>
              <w:right w:w="57" w:type="dxa"/>
            </w:tcMar>
            <w:vAlign w:val="center"/>
          </w:tcPr>
          <w:p w14:paraId="03CE52C8" w14:textId="77777777" w:rsidR="00C35151" w:rsidRPr="00086B7A" w:rsidRDefault="00C35151" w:rsidP="00D17B7B">
            <w:pPr>
              <w:spacing w:line="240" w:lineRule="auto"/>
              <w:ind w:firstLine="0"/>
              <w:jc w:val="left"/>
              <w:rPr>
                <w:color w:val="000000" w:themeColor="text1"/>
                <w:sz w:val="20"/>
                <w:szCs w:val="20"/>
                <w:lang w:val="en-US"/>
              </w:rPr>
            </w:pPr>
            <w:r>
              <w:rPr>
                <w:color w:val="000000" w:themeColor="text1"/>
                <w:sz w:val="20"/>
                <w:szCs w:val="20"/>
                <w:lang w:val="en-US"/>
              </w:rPr>
              <w:t>Pseudo-academic pathway</w:t>
            </w:r>
          </w:p>
        </w:tc>
        <w:tc>
          <w:tcPr>
            <w:tcW w:w="2268" w:type="dxa"/>
            <w:tcBorders>
              <w:top w:val="nil"/>
              <w:bottom w:val="nil"/>
            </w:tcBorders>
            <w:vAlign w:val="center"/>
          </w:tcPr>
          <w:p w14:paraId="1D4A85CB"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9</w:t>
            </w:r>
            <w:r w:rsidRPr="00086B7A">
              <w:rPr>
                <w:color w:val="000000" w:themeColor="text1"/>
                <w:sz w:val="20"/>
                <w:szCs w:val="20"/>
                <w:lang w:val="en-US"/>
              </w:rPr>
              <w:t>.</w:t>
            </w:r>
            <w:r>
              <w:rPr>
                <w:color w:val="000000" w:themeColor="text1"/>
                <w:sz w:val="20"/>
                <w:szCs w:val="20"/>
                <w:lang w:val="en-US"/>
              </w:rPr>
              <w:t>8</w:t>
            </w:r>
            <w:r w:rsidRPr="00086B7A">
              <w:rPr>
                <w:color w:val="000000" w:themeColor="text1"/>
                <w:sz w:val="20"/>
                <w:szCs w:val="20"/>
                <w:lang w:val="en-US"/>
              </w:rPr>
              <w:t>%</w:t>
            </w:r>
          </w:p>
        </w:tc>
        <w:tc>
          <w:tcPr>
            <w:tcW w:w="2082" w:type="dxa"/>
            <w:tcBorders>
              <w:top w:val="nil"/>
              <w:bottom w:val="nil"/>
            </w:tcBorders>
            <w:tcMar>
              <w:top w:w="57" w:type="dxa"/>
              <w:left w:w="57" w:type="dxa"/>
              <w:bottom w:w="57" w:type="dxa"/>
              <w:right w:w="57" w:type="dxa"/>
            </w:tcMar>
            <w:vAlign w:val="center"/>
          </w:tcPr>
          <w:p w14:paraId="4EFB8CFE"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14.8%</w:t>
            </w:r>
          </w:p>
        </w:tc>
        <w:tc>
          <w:tcPr>
            <w:tcW w:w="2083" w:type="dxa"/>
            <w:tcBorders>
              <w:top w:val="nil"/>
              <w:bottom w:val="nil"/>
            </w:tcBorders>
            <w:tcMar>
              <w:top w:w="57" w:type="dxa"/>
              <w:left w:w="57" w:type="dxa"/>
              <w:bottom w:w="57" w:type="dxa"/>
              <w:right w:w="57" w:type="dxa"/>
            </w:tcMar>
            <w:vAlign w:val="center"/>
          </w:tcPr>
          <w:p w14:paraId="235CDAB8"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18.0</w:t>
            </w:r>
            <w:r w:rsidRPr="00086B7A">
              <w:rPr>
                <w:color w:val="000000" w:themeColor="text1"/>
                <w:sz w:val="20"/>
                <w:szCs w:val="20"/>
                <w:lang w:val="en-US"/>
              </w:rPr>
              <w:t>%</w:t>
            </w:r>
          </w:p>
        </w:tc>
      </w:tr>
      <w:tr w:rsidR="00C35151" w:rsidRPr="00427C30" w14:paraId="2F7BC572" w14:textId="77777777" w:rsidTr="00D17B7B">
        <w:tc>
          <w:tcPr>
            <w:tcW w:w="2694" w:type="dxa"/>
            <w:tcBorders>
              <w:top w:val="nil"/>
              <w:bottom w:val="nil"/>
            </w:tcBorders>
            <w:tcMar>
              <w:top w:w="57" w:type="dxa"/>
              <w:left w:w="57" w:type="dxa"/>
              <w:bottom w:w="57" w:type="dxa"/>
              <w:right w:w="57" w:type="dxa"/>
            </w:tcMar>
            <w:vAlign w:val="center"/>
          </w:tcPr>
          <w:p w14:paraId="6E364293" w14:textId="77777777" w:rsidR="00C35151" w:rsidRPr="00086B7A" w:rsidRDefault="00C35151" w:rsidP="00D17B7B">
            <w:pPr>
              <w:spacing w:line="240" w:lineRule="auto"/>
              <w:ind w:firstLine="0"/>
              <w:jc w:val="left"/>
              <w:rPr>
                <w:color w:val="000000" w:themeColor="text1"/>
                <w:sz w:val="20"/>
                <w:szCs w:val="20"/>
                <w:lang w:val="en-US"/>
              </w:rPr>
            </w:pPr>
            <w:r>
              <w:rPr>
                <w:color w:val="000000" w:themeColor="text1"/>
                <w:sz w:val="20"/>
                <w:szCs w:val="20"/>
                <w:lang w:val="en-US"/>
              </w:rPr>
              <w:t>Vocational</w:t>
            </w:r>
            <w:r w:rsidRPr="00086B7A">
              <w:rPr>
                <w:color w:val="000000" w:themeColor="text1"/>
                <w:sz w:val="20"/>
                <w:szCs w:val="20"/>
                <w:lang w:val="en-US"/>
              </w:rPr>
              <w:t xml:space="preserve"> pathway</w:t>
            </w:r>
          </w:p>
        </w:tc>
        <w:tc>
          <w:tcPr>
            <w:tcW w:w="2268" w:type="dxa"/>
            <w:tcBorders>
              <w:top w:val="nil"/>
              <w:bottom w:val="nil"/>
            </w:tcBorders>
            <w:vAlign w:val="center"/>
          </w:tcPr>
          <w:p w14:paraId="32A4E9EE"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26</w:t>
            </w:r>
            <w:r w:rsidRPr="00086B7A">
              <w:rPr>
                <w:color w:val="000000" w:themeColor="text1"/>
                <w:sz w:val="20"/>
                <w:szCs w:val="20"/>
                <w:lang w:val="en-US"/>
              </w:rPr>
              <w:t>.</w:t>
            </w:r>
            <w:r>
              <w:rPr>
                <w:color w:val="000000" w:themeColor="text1"/>
                <w:sz w:val="20"/>
                <w:szCs w:val="20"/>
                <w:lang w:val="en-US"/>
              </w:rPr>
              <w:t>9</w:t>
            </w:r>
            <w:r w:rsidRPr="00086B7A">
              <w:rPr>
                <w:color w:val="000000" w:themeColor="text1"/>
                <w:sz w:val="20"/>
                <w:szCs w:val="20"/>
                <w:lang w:val="en-US"/>
              </w:rPr>
              <w:t>%</w:t>
            </w:r>
          </w:p>
        </w:tc>
        <w:tc>
          <w:tcPr>
            <w:tcW w:w="2082" w:type="dxa"/>
            <w:tcBorders>
              <w:top w:val="nil"/>
              <w:bottom w:val="nil"/>
            </w:tcBorders>
            <w:tcMar>
              <w:top w:w="57" w:type="dxa"/>
              <w:left w:w="57" w:type="dxa"/>
              <w:bottom w:w="57" w:type="dxa"/>
              <w:right w:w="57" w:type="dxa"/>
            </w:tcMar>
            <w:vAlign w:val="center"/>
          </w:tcPr>
          <w:p w14:paraId="7BAF11EB"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18.4%</w:t>
            </w:r>
          </w:p>
        </w:tc>
        <w:tc>
          <w:tcPr>
            <w:tcW w:w="2083" w:type="dxa"/>
            <w:tcBorders>
              <w:top w:val="nil"/>
              <w:bottom w:val="nil"/>
            </w:tcBorders>
            <w:tcMar>
              <w:top w:w="57" w:type="dxa"/>
              <w:left w:w="57" w:type="dxa"/>
              <w:bottom w:w="57" w:type="dxa"/>
              <w:right w:w="57" w:type="dxa"/>
            </w:tcMar>
            <w:vAlign w:val="center"/>
          </w:tcPr>
          <w:p w14:paraId="064F68FF"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32</w:t>
            </w:r>
            <w:r w:rsidRPr="00086B7A">
              <w:rPr>
                <w:color w:val="000000" w:themeColor="text1"/>
                <w:sz w:val="20"/>
                <w:szCs w:val="20"/>
                <w:lang w:val="en-US"/>
              </w:rPr>
              <w:t>.</w:t>
            </w:r>
            <w:r>
              <w:rPr>
                <w:color w:val="000000" w:themeColor="text1"/>
                <w:sz w:val="20"/>
                <w:szCs w:val="20"/>
                <w:lang w:val="en-US"/>
              </w:rPr>
              <w:t>9</w:t>
            </w:r>
            <w:r w:rsidRPr="00086B7A">
              <w:rPr>
                <w:color w:val="000000" w:themeColor="text1"/>
                <w:sz w:val="20"/>
                <w:szCs w:val="20"/>
                <w:lang w:val="en-US"/>
              </w:rPr>
              <w:t>%</w:t>
            </w:r>
          </w:p>
        </w:tc>
      </w:tr>
      <w:tr w:rsidR="00C35151" w:rsidRPr="00427C30" w14:paraId="0D7293B8" w14:textId="77777777" w:rsidTr="00D17B7B">
        <w:tc>
          <w:tcPr>
            <w:tcW w:w="2694" w:type="dxa"/>
            <w:tcBorders>
              <w:top w:val="nil"/>
              <w:bottom w:val="nil"/>
            </w:tcBorders>
            <w:tcMar>
              <w:top w:w="57" w:type="dxa"/>
              <w:left w:w="57" w:type="dxa"/>
              <w:bottom w:w="57" w:type="dxa"/>
              <w:right w:w="57" w:type="dxa"/>
            </w:tcMar>
            <w:vAlign w:val="center"/>
          </w:tcPr>
          <w:p w14:paraId="3A5272D7" w14:textId="77777777" w:rsidR="00C35151" w:rsidRPr="00086B7A" w:rsidRDefault="00C35151" w:rsidP="00D17B7B">
            <w:pPr>
              <w:spacing w:line="240" w:lineRule="auto"/>
              <w:ind w:firstLine="0"/>
              <w:jc w:val="left"/>
              <w:rPr>
                <w:color w:val="000000" w:themeColor="text1"/>
                <w:sz w:val="20"/>
                <w:szCs w:val="20"/>
                <w:lang w:val="en-US"/>
              </w:rPr>
            </w:pPr>
            <w:r w:rsidRPr="00086B7A">
              <w:rPr>
                <w:color w:val="000000" w:themeColor="text1"/>
                <w:sz w:val="20"/>
                <w:szCs w:val="20"/>
                <w:lang w:val="en-US"/>
              </w:rPr>
              <w:t>Other pathways</w:t>
            </w:r>
          </w:p>
        </w:tc>
        <w:tc>
          <w:tcPr>
            <w:tcW w:w="2268" w:type="dxa"/>
            <w:tcBorders>
              <w:top w:val="nil"/>
              <w:bottom w:val="nil"/>
            </w:tcBorders>
            <w:vAlign w:val="center"/>
          </w:tcPr>
          <w:p w14:paraId="080C8670"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11</w:t>
            </w:r>
            <w:r w:rsidRPr="00086B7A">
              <w:rPr>
                <w:color w:val="000000" w:themeColor="text1"/>
                <w:sz w:val="20"/>
                <w:szCs w:val="20"/>
                <w:lang w:val="en-US"/>
              </w:rPr>
              <w:t>.</w:t>
            </w:r>
            <w:r>
              <w:rPr>
                <w:color w:val="000000" w:themeColor="text1"/>
                <w:sz w:val="20"/>
                <w:szCs w:val="20"/>
                <w:lang w:val="en-US"/>
              </w:rPr>
              <w:t>8</w:t>
            </w:r>
            <w:r w:rsidRPr="00086B7A">
              <w:rPr>
                <w:color w:val="000000" w:themeColor="text1"/>
                <w:sz w:val="20"/>
                <w:szCs w:val="20"/>
                <w:lang w:val="en-US"/>
              </w:rPr>
              <w:t>%</w:t>
            </w:r>
          </w:p>
        </w:tc>
        <w:tc>
          <w:tcPr>
            <w:tcW w:w="2082" w:type="dxa"/>
            <w:tcBorders>
              <w:top w:val="nil"/>
              <w:bottom w:val="nil"/>
            </w:tcBorders>
            <w:tcMar>
              <w:top w:w="57" w:type="dxa"/>
              <w:left w:w="57" w:type="dxa"/>
              <w:bottom w:w="57" w:type="dxa"/>
              <w:right w:w="57" w:type="dxa"/>
            </w:tcMar>
            <w:vAlign w:val="center"/>
          </w:tcPr>
          <w:p w14:paraId="638E327A"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0.8%</w:t>
            </w:r>
          </w:p>
        </w:tc>
        <w:tc>
          <w:tcPr>
            <w:tcW w:w="2083" w:type="dxa"/>
            <w:tcBorders>
              <w:top w:val="nil"/>
              <w:bottom w:val="nil"/>
            </w:tcBorders>
            <w:tcMar>
              <w:top w:w="57" w:type="dxa"/>
              <w:left w:w="57" w:type="dxa"/>
              <w:bottom w:w="57" w:type="dxa"/>
              <w:right w:w="57" w:type="dxa"/>
            </w:tcMar>
            <w:vAlign w:val="center"/>
          </w:tcPr>
          <w:p w14:paraId="61337093" w14:textId="77777777" w:rsidR="00C35151" w:rsidRPr="00086B7A" w:rsidRDefault="00C35151" w:rsidP="00D17B7B">
            <w:pPr>
              <w:spacing w:line="240" w:lineRule="auto"/>
              <w:ind w:firstLine="0"/>
              <w:jc w:val="center"/>
              <w:rPr>
                <w:color w:val="000000" w:themeColor="text1"/>
                <w:sz w:val="20"/>
                <w:szCs w:val="20"/>
                <w:lang w:val="en-US"/>
              </w:rPr>
            </w:pPr>
            <w:r>
              <w:rPr>
                <w:color w:val="000000" w:themeColor="text1"/>
                <w:sz w:val="20"/>
                <w:szCs w:val="20"/>
                <w:lang w:val="en-US"/>
              </w:rPr>
              <w:t>2</w:t>
            </w:r>
            <w:r w:rsidRPr="00086B7A">
              <w:rPr>
                <w:color w:val="000000" w:themeColor="text1"/>
                <w:sz w:val="20"/>
                <w:szCs w:val="20"/>
                <w:lang w:val="en-US"/>
              </w:rPr>
              <w:t>.</w:t>
            </w:r>
            <w:r>
              <w:rPr>
                <w:color w:val="000000" w:themeColor="text1"/>
                <w:sz w:val="20"/>
                <w:szCs w:val="20"/>
                <w:lang w:val="en-US"/>
              </w:rPr>
              <w:t>7</w:t>
            </w:r>
            <w:r w:rsidRPr="00086B7A">
              <w:rPr>
                <w:color w:val="000000" w:themeColor="text1"/>
                <w:sz w:val="20"/>
                <w:szCs w:val="20"/>
                <w:lang w:val="en-US"/>
              </w:rPr>
              <w:t>%</w:t>
            </w:r>
          </w:p>
        </w:tc>
      </w:tr>
      <w:tr w:rsidR="00C35151" w:rsidRPr="00427C30" w14:paraId="3E689351" w14:textId="77777777" w:rsidTr="00D17B7B">
        <w:tc>
          <w:tcPr>
            <w:tcW w:w="2694" w:type="dxa"/>
            <w:tcBorders>
              <w:top w:val="nil"/>
            </w:tcBorders>
            <w:tcMar>
              <w:top w:w="57" w:type="dxa"/>
              <w:left w:w="57" w:type="dxa"/>
              <w:bottom w:w="57" w:type="dxa"/>
              <w:right w:w="57" w:type="dxa"/>
            </w:tcMar>
            <w:vAlign w:val="center"/>
          </w:tcPr>
          <w:p w14:paraId="7F99A4ED" w14:textId="77777777" w:rsidR="00C35151" w:rsidRPr="00086B7A" w:rsidRDefault="00C35151" w:rsidP="00D17B7B">
            <w:pPr>
              <w:spacing w:line="240" w:lineRule="auto"/>
              <w:ind w:firstLine="0"/>
              <w:jc w:val="left"/>
              <w:rPr>
                <w:color w:val="000000" w:themeColor="text1"/>
                <w:sz w:val="20"/>
                <w:szCs w:val="20"/>
                <w:lang w:val="en-US"/>
              </w:rPr>
            </w:pPr>
            <w:r w:rsidRPr="00086B7A">
              <w:rPr>
                <w:color w:val="000000" w:themeColor="text1"/>
                <w:sz w:val="20"/>
                <w:szCs w:val="20"/>
                <w:lang w:val="en-US"/>
              </w:rPr>
              <w:t>Total</w:t>
            </w:r>
          </w:p>
        </w:tc>
        <w:tc>
          <w:tcPr>
            <w:tcW w:w="2268" w:type="dxa"/>
            <w:tcBorders>
              <w:top w:val="nil"/>
            </w:tcBorders>
            <w:vAlign w:val="center"/>
          </w:tcPr>
          <w:p w14:paraId="445902F2"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100.0%</w:t>
            </w:r>
          </w:p>
        </w:tc>
        <w:tc>
          <w:tcPr>
            <w:tcW w:w="2082" w:type="dxa"/>
            <w:tcBorders>
              <w:top w:val="nil"/>
            </w:tcBorders>
            <w:tcMar>
              <w:top w:w="57" w:type="dxa"/>
              <w:left w:w="57" w:type="dxa"/>
              <w:bottom w:w="57" w:type="dxa"/>
              <w:right w:w="57" w:type="dxa"/>
            </w:tcMar>
            <w:vAlign w:val="center"/>
          </w:tcPr>
          <w:p w14:paraId="25D2D881"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100.0%</w:t>
            </w:r>
          </w:p>
        </w:tc>
        <w:tc>
          <w:tcPr>
            <w:tcW w:w="2083" w:type="dxa"/>
            <w:tcBorders>
              <w:top w:val="nil"/>
            </w:tcBorders>
            <w:tcMar>
              <w:top w:w="57" w:type="dxa"/>
              <w:left w:w="57" w:type="dxa"/>
              <w:bottom w:w="57" w:type="dxa"/>
              <w:right w:w="57" w:type="dxa"/>
            </w:tcMar>
            <w:vAlign w:val="center"/>
          </w:tcPr>
          <w:p w14:paraId="24C8977E"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100.0%</w:t>
            </w:r>
          </w:p>
        </w:tc>
      </w:tr>
      <w:tr w:rsidR="00C35151" w:rsidRPr="00427C30" w14:paraId="3CED3078" w14:textId="77777777" w:rsidTr="00D17B7B">
        <w:tc>
          <w:tcPr>
            <w:tcW w:w="2694" w:type="dxa"/>
            <w:tcBorders>
              <w:top w:val="nil"/>
            </w:tcBorders>
            <w:tcMar>
              <w:top w:w="57" w:type="dxa"/>
              <w:left w:w="57" w:type="dxa"/>
              <w:bottom w:w="57" w:type="dxa"/>
              <w:right w:w="57" w:type="dxa"/>
            </w:tcMar>
            <w:vAlign w:val="center"/>
          </w:tcPr>
          <w:p w14:paraId="4CE85C66" w14:textId="77777777" w:rsidR="00C35151" w:rsidRPr="00086B7A" w:rsidRDefault="00C35151" w:rsidP="00D17B7B">
            <w:pPr>
              <w:spacing w:line="240" w:lineRule="auto"/>
              <w:ind w:firstLine="0"/>
              <w:jc w:val="left"/>
              <w:rPr>
                <w:color w:val="000000" w:themeColor="text1"/>
                <w:sz w:val="20"/>
                <w:szCs w:val="20"/>
                <w:lang w:val="en-US"/>
              </w:rPr>
            </w:pPr>
            <w:r w:rsidRPr="00086B7A">
              <w:rPr>
                <w:color w:val="000000" w:themeColor="text1"/>
                <w:sz w:val="20"/>
                <w:szCs w:val="20"/>
                <w:lang w:val="en-US"/>
              </w:rPr>
              <w:t>Observations</w:t>
            </w:r>
          </w:p>
        </w:tc>
        <w:tc>
          <w:tcPr>
            <w:tcW w:w="2268" w:type="dxa"/>
            <w:tcBorders>
              <w:top w:val="nil"/>
            </w:tcBorders>
            <w:vAlign w:val="center"/>
          </w:tcPr>
          <w:p w14:paraId="092D83F5"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4,752</w:t>
            </w:r>
          </w:p>
        </w:tc>
        <w:tc>
          <w:tcPr>
            <w:tcW w:w="2082" w:type="dxa"/>
            <w:tcBorders>
              <w:top w:val="nil"/>
            </w:tcBorders>
            <w:tcMar>
              <w:top w:w="57" w:type="dxa"/>
              <w:left w:w="57" w:type="dxa"/>
              <w:bottom w:w="57" w:type="dxa"/>
              <w:right w:w="57" w:type="dxa"/>
            </w:tcMar>
            <w:vAlign w:val="center"/>
          </w:tcPr>
          <w:p w14:paraId="322C0BBF"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3,799</w:t>
            </w:r>
          </w:p>
        </w:tc>
        <w:tc>
          <w:tcPr>
            <w:tcW w:w="2083" w:type="dxa"/>
            <w:tcBorders>
              <w:top w:val="nil"/>
            </w:tcBorders>
            <w:tcMar>
              <w:top w:w="57" w:type="dxa"/>
              <w:left w:w="57" w:type="dxa"/>
              <w:bottom w:w="57" w:type="dxa"/>
              <w:right w:w="57" w:type="dxa"/>
            </w:tcMar>
            <w:vAlign w:val="center"/>
          </w:tcPr>
          <w:p w14:paraId="5ECB6BA3" w14:textId="77777777" w:rsidR="00C35151" w:rsidRPr="00086B7A" w:rsidRDefault="00C35151" w:rsidP="00D17B7B">
            <w:pPr>
              <w:spacing w:line="240" w:lineRule="auto"/>
              <w:ind w:firstLine="0"/>
              <w:jc w:val="center"/>
              <w:rPr>
                <w:color w:val="000000" w:themeColor="text1"/>
                <w:sz w:val="20"/>
                <w:szCs w:val="20"/>
                <w:lang w:val="en-US"/>
              </w:rPr>
            </w:pPr>
            <w:r w:rsidRPr="00086B7A">
              <w:rPr>
                <w:color w:val="000000" w:themeColor="text1"/>
                <w:sz w:val="20"/>
                <w:szCs w:val="20"/>
                <w:lang w:val="en-US"/>
              </w:rPr>
              <w:t>953</w:t>
            </w:r>
          </w:p>
        </w:tc>
      </w:tr>
    </w:tbl>
    <w:p w14:paraId="726946C7" w14:textId="77777777" w:rsidR="00C35151" w:rsidRPr="00744338" w:rsidRDefault="00C35151" w:rsidP="00C35151">
      <w:pPr>
        <w:spacing w:line="240" w:lineRule="auto"/>
        <w:ind w:firstLine="0"/>
        <w:jc w:val="left"/>
        <w:rPr>
          <w:sz w:val="20"/>
          <w:szCs w:val="20"/>
          <w:lang w:val="en-US"/>
        </w:rPr>
      </w:pPr>
      <w:r w:rsidRPr="00086B7A">
        <w:rPr>
          <w:i/>
          <w:color w:val="000000" w:themeColor="text1"/>
          <w:sz w:val="20"/>
          <w:szCs w:val="20"/>
          <w:lang w:val="en-US"/>
        </w:rPr>
        <w:t>Notes:</w:t>
      </w:r>
      <w:r>
        <w:rPr>
          <w:color w:val="000000" w:themeColor="text1"/>
          <w:sz w:val="20"/>
          <w:szCs w:val="20"/>
          <w:lang w:val="en-US"/>
        </w:rPr>
        <w:t xml:space="preserve"> 1) Percentages weighted using longitudinal weights for Wave 5. 2) P</w:t>
      </w:r>
      <w:r w:rsidRPr="00086B7A">
        <w:rPr>
          <w:color w:val="000000" w:themeColor="text1"/>
          <w:sz w:val="20"/>
          <w:szCs w:val="20"/>
          <w:lang w:val="en-US"/>
        </w:rPr>
        <w:t>ercentages weighted using TIMSS original sample weights</w:t>
      </w:r>
      <w:r>
        <w:rPr>
          <w:color w:val="000000" w:themeColor="text1"/>
          <w:sz w:val="20"/>
          <w:szCs w:val="20"/>
          <w:lang w:val="en-US"/>
        </w:rPr>
        <w:t xml:space="preserve">. </w:t>
      </w:r>
      <w:r>
        <w:rPr>
          <w:i/>
          <w:sz w:val="20"/>
          <w:szCs w:val="20"/>
          <w:lang w:val="en-US"/>
        </w:rPr>
        <w:t xml:space="preserve">Source: </w:t>
      </w:r>
      <w:proofErr w:type="spellStart"/>
      <w:r>
        <w:rPr>
          <w:sz w:val="20"/>
          <w:szCs w:val="20"/>
          <w:lang w:val="en-US"/>
        </w:rPr>
        <w:t>TrEC</w:t>
      </w:r>
      <w:proofErr w:type="spellEnd"/>
      <w:r>
        <w:rPr>
          <w:sz w:val="20"/>
          <w:szCs w:val="20"/>
          <w:lang w:val="en-US"/>
        </w:rPr>
        <w:t>; own calculations.</w:t>
      </w:r>
    </w:p>
    <w:p w14:paraId="663492CA" w14:textId="77777777" w:rsidR="00C35151" w:rsidRDefault="00C35151" w:rsidP="00C35151">
      <w:pPr>
        <w:ind w:firstLine="0"/>
        <w:rPr>
          <w:lang w:val="en-US"/>
        </w:rPr>
      </w:pPr>
    </w:p>
    <w:p w14:paraId="0A2DE3DC" w14:textId="77777777" w:rsidR="00C35151" w:rsidRDefault="00C35151">
      <w:pPr>
        <w:spacing w:after="200" w:line="276" w:lineRule="auto"/>
        <w:ind w:firstLine="0"/>
        <w:jc w:val="left"/>
        <w:rPr>
          <w:b/>
          <w:lang w:val="en-US"/>
        </w:rPr>
      </w:pPr>
      <w:r>
        <w:rPr>
          <w:b/>
          <w:lang w:val="en-US"/>
        </w:rPr>
        <w:br w:type="page"/>
      </w:r>
    </w:p>
    <w:p w14:paraId="480D6ABE" w14:textId="5C50287B" w:rsidR="00C35151" w:rsidRDefault="00C35151" w:rsidP="00C35151">
      <w:pPr>
        <w:spacing w:line="240" w:lineRule="auto"/>
        <w:ind w:right="990" w:firstLine="0"/>
        <w:jc w:val="left"/>
        <w:rPr>
          <w:b/>
          <w:lang w:val="en-US"/>
        </w:rPr>
      </w:pPr>
      <w:proofErr w:type="gramStart"/>
      <w:r>
        <w:rPr>
          <w:b/>
          <w:lang w:val="en-US"/>
        </w:rPr>
        <w:lastRenderedPageBreak/>
        <w:t>Table 3</w:t>
      </w:r>
      <w:r w:rsidRPr="001C6E23">
        <w:rPr>
          <w:b/>
          <w:lang w:val="en-US"/>
        </w:rPr>
        <w:t>.</w:t>
      </w:r>
      <w:proofErr w:type="gramEnd"/>
      <w:r w:rsidRPr="001C6E23">
        <w:rPr>
          <w:b/>
          <w:lang w:val="en-US"/>
        </w:rPr>
        <w:t xml:space="preserve"> </w:t>
      </w:r>
      <w:r>
        <w:rPr>
          <w:b/>
          <w:lang w:val="en-US"/>
        </w:rPr>
        <w:t>Correlations between USE, TIMSS and PISA scores</w:t>
      </w:r>
    </w:p>
    <w:p w14:paraId="45C4C38E" w14:textId="77777777" w:rsidR="00C35151" w:rsidRPr="00EB5966" w:rsidRDefault="00C35151" w:rsidP="00C35151">
      <w:pPr>
        <w:spacing w:line="240" w:lineRule="auto"/>
        <w:ind w:firstLine="0"/>
        <w:rPr>
          <w:sz w:val="20"/>
          <w:szCs w:val="20"/>
          <w:lang w:val="en-US"/>
        </w:rPr>
      </w:pPr>
    </w:p>
    <w:tbl>
      <w:tblPr>
        <w:tblW w:w="0" w:type="auto"/>
        <w:tblLayout w:type="fixed"/>
        <w:tblCellMar>
          <w:top w:w="57" w:type="dxa"/>
          <w:left w:w="57" w:type="dxa"/>
          <w:bottom w:w="57" w:type="dxa"/>
          <w:right w:w="57" w:type="dxa"/>
        </w:tblCellMar>
        <w:tblLook w:val="0000" w:firstRow="0" w:lastRow="0" w:firstColumn="0" w:lastColumn="0" w:noHBand="0" w:noVBand="0"/>
      </w:tblPr>
      <w:tblGrid>
        <w:gridCol w:w="2616"/>
        <w:gridCol w:w="2122"/>
        <w:gridCol w:w="2123"/>
      </w:tblGrid>
      <w:tr w:rsidR="00C35151" w:rsidRPr="00E03F46" w14:paraId="0EA8ABE4" w14:textId="77777777" w:rsidTr="00D17B7B">
        <w:trPr>
          <w:trHeight w:val="23"/>
        </w:trPr>
        <w:tc>
          <w:tcPr>
            <w:tcW w:w="2616" w:type="dxa"/>
            <w:tcBorders>
              <w:top w:val="single" w:sz="4" w:space="0" w:color="auto"/>
              <w:left w:val="nil"/>
              <w:bottom w:val="nil"/>
              <w:right w:val="nil"/>
            </w:tcBorders>
          </w:tcPr>
          <w:p w14:paraId="288EF1D5" w14:textId="77777777" w:rsidR="00C35151" w:rsidRPr="00E03F46" w:rsidRDefault="00C35151" w:rsidP="00D17B7B">
            <w:pPr>
              <w:widowControl w:val="0"/>
              <w:autoSpaceDE w:val="0"/>
              <w:autoSpaceDN w:val="0"/>
              <w:adjustRightInd w:val="0"/>
              <w:spacing w:line="240" w:lineRule="auto"/>
              <w:ind w:firstLine="0"/>
              <w:rPr>
                <w:rFonts w:cs="Times New Roman"/>
                <w:sz w:val="20"/>
                <w:szCs w:val="20"/>
                <w:lang w:val="en-US"/>
              </w:rPr>
            </w:pPr>
          </w:p>
        </w:tc>
        <w:tc>
          <w:tcPr>
            <w:tcW w:w="2122" w:type="dxa"/>
            <w:tcBorders>
              <w:top w:val="single" w:sz="4" w:space="0" w:color="auto"/>
              <w:left w:val="nil"/>
              <w:bottom w:val="nil"/>
              <w:right w:val="nil"/>
            </w:tcBorders>
          </w:tcPr>
          <w:p w14:paraId="0EE04AA7" w14:textId="77777777" w:rsidR="00C35151" w:rsidRPr="00E03F46" w:rsidRDefault="00C35151" w:rsidP="00D17B7B">
            <w:pPr>
              <w:widowControl w:val="0"/>
              <w:autoSpaceDE w:val="0"/>
              <w:autoSpaceDN w:val="0"/>
              <w:adjustRightInd w:val="0"/>
              <w:spacing w:line="240" w:lineRule="auto"/>
              <w:ind w:firstLine="0"/>
              <w:jc w:val="center"/>
              <w:rPr>
                <w:rFonts w:cs="Times New Roman"/>
                <w:b/>
                <w:sz w:val="20"/>
                <w:szCs w:val="20"/>
                <w:lang w:val="en-US"/>
              </w:rPr>
            </w:pPr>
            <w:r w:rsidRPr="00E03F46">
              <w:rPr>
                <w:rFonts w:cs="Times New Roman"/>
                <w:b/>
                <w:sz w:val="20"/>
                <w:szCs w:val="20"/>
                <w:lang w:val="en-US"/>
              </w:rPr>
              <w:t>USE Russian score</w:t>
            </w:r>
          </w:p>
        </w:tc>
        <w:tc>
          <w:tcPr>
            <w:tcW w:w="2123" w:type="dxa"/>
            <w:tcBorders>
              <w:top w:val="single" w:sz="4" w:space="0" w:color="auto"/>
              <w:left w:val="nil"/>
              <w:bottom w:val="nil"/>
              <w:right w:val="nil"/>
            </w:tcBorders>
          </w:tcPr>
          <w:p w14:paraId="4D9CAD14" w14:textId="77777777" w:rsidR="00C35151" w:rsidRPr="00E03F46" w:rsidRDefault="00C35151" w:rsidP="00D17B7B">
            <w:pPr>
              <w:widowControl w:val="0"/>
              <w:autoSpaceDE w:val="0"/>
              <w:autoSpaceDN w:val="0"/>
              <w:adjustRightInd w:val="0"/>
              <w:spacing w:line="240" w:lineRule="auto"/>
              <w:ind w:firstLine="0"/>
              <w:jc w:val="center"/>
              <w:rPr>
                <w:rFonts w:cs="Times New Roman"/>
                <w:b/>
                <w:sz w:val="20"/>
                <w:szCs w:val="20"/>
                <w:lang w:val="en-US"/>
              </w:rPr>
            </w:pPr>
            <w:r w:rsidRPr="00E03F46">
              <w:rPr>
                <w:rFonts w:cs="Times New Roman"/>
                <w:b/>
                <w:sz w:val="20"/>
                <w:szCs w:val="20"/>
                <w:lang w:val="en-US"/>
              </w:rPr>
              <w:t>USE math score</w:t>
            </w:r>
          </w:p>
        </w:tc>
      </w:tr>
      <w:tr w:rsidR="00C35151" w:rsidRPr="00E03F46" w14:paraId="2A70C01E" w14:textId="77777777" w:rsidTr="00D17B7B">
        <w:tc>
          <w:tcPr>
            <w:tcW w:w="2616" w:type="dxa"/>
            <w:tcBorders>
              <w:top w:val="single" w:sz="4" w:space="0" w:color="auto"/>
              <w:left w:val="nil"/>
              <w:bottom w:val="nil"/>
              <w:right w:val="nil"/>
            </w:tcBorders>
          </w:tcPr>
          <w:p w14:paraId="77D6F236" w14:textId="77777777" w:rsidR="00C35151" w:rsidRPr="00E03F46" w:rsidRDefault="00C35151" w:rsidP="00D17B7B">
            <w:pPr>
              <w:widowControl w:val="0"/>
              <w:autoSpaceDE w:val="0"/>
              <w:autoSpaceDN w:val="0"/>
              <w:adjustRightInd w:val="0"/>
              <w:spacing w:line="240" w:lineRule="auto"/>
              <w:ind w:firstLine="0"/>
              <w:rPr>
                <w:rFonts w:cs="Times New Roman"/>
                <w:b/>
                <w:sz w:val="20"/>
                <w:szCs w:val="20"/>
                <w:lang w:val="en-US"/>
              </w:rPr>
            </w:pPr>
            <w:r w:rsidRPr="00E03F46">
              <w:rPr>
                <w:rFonts w:cs="Times New Roman"/>
                <w:b/>
                <w:sz w:val="20"/>
                <w:szCs w:val="20"/>
                <w:lang w:val="en-US"/>
              </w:rPr>
              <w:t xml:space="preserve">TIMSS math score </w:t>
            </w:r>
          </w:p>
        </w:tc>
        <w:tc>
          <w:tcPr>
            <w:tcW w:w="2122" w:type="dxa"/>
            <w:tcBorders>
              <w:top w:val="single" w:sz="4" w:space="0" w:color="auto"/>
              <w:left w:val="nil"/>
              <w:bottom w:val="nil"/>
              <w:right w:val="nil"/>
            </w:tcBorders>
          </w:tcPr>
          <w:p w14:paraId="0C16FE27"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0.489</w:t>
            </w:r>
          </w:p>
        </w:tc>
        <w:tc>
          <w:tcPr>
            <w:tcW w:w="2123" w:type="dxa"/>
            <w:tcBorders>
              <w:top w:val="single" w:sz="4" w:space="0" w:color="auto"/>
              <w:left w:val="nil"/>
              <w:bottom w:val="nil"/>
              <w:right w:val="nil"/>
            </w:tcBorders>
          </w:tcPr>
          <w:p w14:paraId="6920CD4C"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0.600</w:t>
            </w:r>
          </w:p>
        </w:tc>
      </w:tr>
      <w:tr w:rsidR="00C35151" w:rsidRPr="00E03F46" w14:paraId="46AE0E2F" w14:textId="77777777" w:rsidTr="00D17B7B">
        <w:tc>
          <w:tcPr>
            <w:tcW w:w="2616" w:type="dxa"/>
            <w:tcBorders>
              <w:top w:val="nil"/>
              <w:left w:val="nil"/>
              <w:bottom w:val="nil"/>
              <w:right w:val="nil"/>
            </w:tcBorders>
          </w:tcPr>
          <w:p w14:paraId="4286FAC4" w14:textId="77777777" w:rsidR="00C35151" w:rsidRPr="00E03F46" w:rsidRDefault="00C35151" w:rsidP="00D17B7B">
            <w:pPr>
              <w:widowControl w:val="0"/>
              <w:autoSpaceDE w:val="0"/>
              <w:autoSpaceDN w:val="0"/>
              <w:adjustRightInd w:val="0"/>
              <w:spacing w:line="240" w:lineRule="auto"/>
              <w:ind w:firstLine="0"/>
              <w:rPr>
                <w:rFonts w:cs="Times New Roman"/>
                <w:b/>
                <w:sz w:val="20"/>
                <w:szCs w:val="20"/>
                <w:lang w:val="en-US"/>
              </w:rPr>
            </w:pPr>
            <w:r w:rsidRPr="00E03F46">
              <w:rPr>
                <w:rFonts w:cs="Times New Roman"/>
                <w:b/>
                <w:sz w:val="20"/>
                <w:szCs w:val="20"/>
                <w:lang w:val="en-US"/>
              </w:rPr>
              <w:t xml:space="preserve">TIMSS science score </w:t>
            </w:r>
          </w:p>
        </w:tc>
        <w:tc>
          <w:tcPr>
            <w:tcW w:w="2122" w:type="dxa"/>
            <w:tcBorders>
              <w:top w:val="nil"/>
              <w:left w:val="nil"/>
              <w:bottom w:val="nil"/>
              <w:right w:val="nil"/>
            </w:tcBorders>
          </w:tcPr>
          <w:p w14:paraId="4F4F1010"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0.471</w:t>
            </w:r>
          </w:p>
        </w:tc>
        <w:tc>
          <w:tcPr>
            <w:tcW w:w="2123" w:type="dxa"/>
            <w:tcBorders>
              <w:top w:val="nil"/>
              <w:left w:val="nil"/>
              <w:bottom w:val="nil"/>
              <w:right w:val="nil"/>
            </w:tcBorders>
          </w:tcPr>
          <w:p w14:paraId="27280E01"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0.495</w:t>
            </w:r>
          </w:p>
        </w:tc>
      </w:tr>
      <w:tr w:rsidR="00C35151" w:rsidRPr="00E03F46" w14:paraId="5AA956AB" w14:textId="77777777" w:rsidTr="00D17B7B">
        <w:tc>
          <w:tcPr>
            <w:tcW w:w="2616" w:type="dxa"/>
            <w:tcBorders>
              <w:top w:val="nil"/>
              <w:left w:val="nil"/>
              <w:bottom w:val="nil"/>
              <w:right w:val="nil"/>
            </w:tcBorders>
          </w:tcPr>
          <w:p w14:paraId="1E630867" w14:textId="77777777" w:rsidR="00C35151" w:rsidRPr="00E03F46" w:rsidRDefault="00C35151" w:rsidP="00D17B7B">
            <w:pPr>
              <w:widowControl w:val="0"/>
              <w:autoSpaceDE w:val="0"/>
              <w:autoSpaceDN w:val="0"/>
              <w:adjustRightInd w:val="0"/>
              <w:spacing w:line="240" w:lineRule="auto"/>
              <w:ind w:firstLine="0"/>
              <w:rPr>
                <w:rFonts w:cs="Times New Roman"/>
                <w:b/>
                <w:sz w:val="20"/>
                <w:szCs w:val="20"/>
                <w:lang w:val="en-US"/>
              </w:rPr>
            </w:pPr>
            <w:r w:rsidRPr="00E03F46">
              <w:rPr>
                <w:rFonts w:cs="Times New Roman"/>
                <w:b/>
                <w:sz w:val="20"/>
                <w:szCs w:val="20"/>
                <w:lang w:val="en-US"/>
              </w:rPr>
              <w:t xml:space="preserve">PISA math score </w:t>
            </w:r>
          </w:p>
        </w:tc>
        <w:tc>
          <w:tcPr>
            <w:tcW w:w="2122" w:type="dxa"/>
            <w:tcBorders>
              <w:top w:val="nil"/>
              <w:left w:val="nil"/>
              <w:bottom w:val="nil"/>
              <w:right w:val="nil"/>
            </w:tcBorders>
          </w:tcPr>
          <w:p w14:paraId="58461D66"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0.514 </w:t>
            </w:r>
            <w:r w:rsidRPr="00E03F46">
              <w:rPr>
                <w:rFonts w:cs="Times New Roman"/>
                <w:sz w:val="20"/>
                <w:szCs w:val="20"/>
                <w:vertAlign w:val="superscript"/>
                <w:lang w:val="en-US"/>
              </w:rPr>
              <w:t>2)</w:t>
            </w:r>
          </w:p>
        </w:tc>
        <w:tc>
          <w:tcPr>
            <w:tcW w:w="2123" w:type="dxa"/>
            <w:tcBorders>
              <w:top w:val="nil"/>
              <w:left w:val="nil"/>
              <w:bottom w:val="nil"/>
              <w:right w:val="nil"/>
            </w:tcBorders>
          </w:tcPr>
          <w:p w14:paraId="14E2C4EC"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0.590 </w:t>
            </w:r>
            <w:r w:rsidRPr="00E03F46">
              <w:rPr>
                <w:rFonts w:cs="Times New Roman"/>
                <w:sz w:val="20"/>
                <w:szCs w:val="20"/>
                <w:vertAlign w:val="superscript"/>
                <w:lang w:val="en-US"/>
              </w:rPr>
              <w:t>2)</w:t>
            </w:r>
          </w:p>
        </w:tc>
      </w:tr>
      <w:tr w:rsidR="00C35151" w:rsidRPr="00E03F46" w14:paraId="19828EC3" w14:textId="77777777" w:rsidTr="00D17B7B">
        <w:tc>
          <w:tcPr>
            <w:tcW w:w="2616" w:type="dxa"/>
            <w:tcBorders>
              <w:top w:val="nil"/>
              <w:left w:val="nil"/>
              <w:bottom w:val="nil"/>
              <w:right w:val="nil"/>
            </w:tcBorders>
          </w:tcPr>
          <w:p w14:paraId="2D6EBC28" w14:textId="77777777" w:rsidR="00C35151" w:rsidRPr="00E03F46" w:rsidRDefault="00C35151" w:rsidP="00D17B7B">
            <w:pPr>
              <w:widowControl w:val="0"/>
              <w:autoSpaceDE w:val="0"/>
              <w:autoSpaceDN w:val="0"/>
              <w:adjustRightInd w:val="0"/>
              <w:spacing w:line="240" w:lineRule="auto"/>
              <w:ind w:firstLine="0"/>
              <w:rPr>
                <w:rFonts w:cs="Times New Roman"/>
                <w:b/>
                <w:sz w:val="20"/>
                <w:szCs w:val="20"/>
                <w:lang w:val="en-US"/>
              </w:rPr>
            </w:pPr>
            <w:r w:rsidRPr="00E03F46">
              <w:rPr>
                <w:rFonts w:cs="Times New Roman"/>
                <w:b/>
                <w:sz w:val="20"/>
                <w:szCs w:val="20"/>
                <w:lang w:val="en-US"/>
              </w:rPr>
              <w:t xml:space="preserve">PISA reading score </w:t>
            </w:r>
          </w:p>
        </w:tc>
        <w:tc>
          <w:tcPr>
            <w:tcW w:w="2122" w:type="dxa"/>
            <w:tcBorders>
              <w:top w:val="nil"/>
              <w:left w:val="nil"/>
              <w:bottom w:val="nil"/>
              <w:right w:val="nil"/>
            </w:tcBorders>
          </w:tcPr>
          <w:p w14:paraId="0C3522CD"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0.581 </w:t>
            </w:r>
            <w:r w:rsidRPr="00E03F46">
              <w:rPr>
                <w:rFonts w:cs="Times New Roman"/>
                <w:sz w:val="20"/>
                <w:szCs w:val="20"/>
                <w:vertAlign w:val="superscript"/>
                <w:lang w:val="en-US"/>
              </w:rPr>
              <w:t>1),2)</w:t>
            </w:r>
          </w:p>
        </w:tc>
        <w:tc>
          <w:tcPr>
            <w:tcW w:w="2123" w:type="dxa"/>
            <w:tcBorders>
              <w:top w:val="nil"/>
              <w:left w:val="nil"/>
              <w:bottom w:val="nil"/>
              <w:right w:val="nil"/>
            </w:tcBorders>
          </w:tcPr>
          <w:p w14:paraId="6D84C4E6"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0.509 </w:t>
            </w:r>
            <w:r w:rsidRPr="00E03F46">
              <w:rPr>
                <w:rFonts w:cs="Times New Roman"/>
                <w:sz w:val="20"/>
                <w:szCs w:val="20"/>
                <w:vertAlign w:val="superscript"/>
                <w:lang w:val="en-US"/>
              </w:rPr>
              <w:t>1)</w:t>
            </w:r>
          </w:p>
        </w:tc>
      </w:tr>
      <w:tr w:rsidR="00C35151" w:rsidRPr="00E03F46" w14:paraId="0B380248" w14:textId="77777777" w:rsidTr="00D17B7B">
        <w:tc>
          <w:tcPr>
            <w:tcW w:w="2616" w:type="dxa"/>
            <w:tcBorders>
              <w:top w:val="nil"/>
              <w:left w:val="nil"/>
              <w:bottom w:val="nil"/>
              <w:right w:val="nil"/>
            </w:tcBorders>
          </w:tcPr>
          <w:p w14:paraId="40AB9533" w14:textId="77777777" w:rsidR="00C35151" w:rsidRPr="00E03F46" w:rsidRDefault="00C35151" w:rsidP="00D17B7B">
            <w:pPr>
              <w:widowControl w:val="0"/>
              <w:autoSpaceDE w:val="0"/>
              <w:autoSpaceDN w:val="0"/>
              <w:adjustRightInd w:val="0"/>
              <w:spacing w:line="240" w:lineRule="auto"/>
              <w:ind w:firstLine="0"/>
              <w:rPr>
                <w:rFonts w:cs="Times New Roman"/>
                <w:b/>
                <w:sz w:val="20"/>
                <w:szCs w:val="20"/>
                <w:lang w:val="en-US"/>
              </w:rPr>
            </w:pPr>
            <w:r w:rsidRPr="00E03F46">
              <w:rPr>
                <w:rFonts w:cs="Times New Roman"/>
                <w:b/>
                <w:sz w:val="20"/>
                <w:szCs w:val="20"/>
                <w:lang w:val="en-US"/>
              </w:rPr>
              <w:t xml:space="preserve">PISA science score </w:t>
            </w:r>
          </w:p>
        </w:tc>
        <w:tc>
          <w:tcPr>
            <w:tcW w:w="2122" w:type="dxa"/>
            <w:tcBorders>
              <w:top w:val="nil"/>
              <w:left w:val="nil"/>
              <w:bottom w:val="nil"/>
              <w:right w:val="nil"/>
            </w:tcBorders>
          </w:tcPr>
          <w:p w14:paraId="11878E83"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0.529 </w:t>
            </w:r>
            <w:r w:rsidRPr="00E03F46">
              <w:rPr>
                <w:rFonts w:cs="Times New Roman"/>
                <w:sz w:val="20"/>
                <w:szCs w:val="20"/>
                <w:vertAlign w:val="superscript"/>
                <w:lang w:val="en-US"/>
              </w:rPr>
              <w:t>1),2)</w:t>
            </w:r>
          </w:p>
        </w:tc>
        <w:tc>
          <w:tcPr>
            <w:tcW w:w="2123" w:type="dxa"/>
            <w:tcBorders>
              <w:top w:val="nil"/>
              <w:left w:val="nil"/>
              <w:bottom w:val="nil"/>
              <w:right w:val="nil"/>
            </w:tcBorders>
          </w:tcPr>
          <w:p w14:paraId="1872E7EC"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0.539 </w:t>
            </w:r>
            <w:r w:rsidRPr="00E03F46">
              <w:rPr>
                <w:rFonts w:cs="Times New Roman"/>
                <w:sz w:val="20"/>
                <w:szCs w:val="20"/>
                <w:vertAlign w:val="superscript"/>
                <w:lang w:val="en-US"/>
              </w:rPr>
              <w:t>1),2)</w:t>
            </w:r>
          </w:p>
        </w:tc>
      </w:tr>
      <w:tr w:rsidR="00C35151" w:rsidRPr="00E03F46" w14:paraId="1A2715AD" w14:textId="77777777" w:rsidTr="00D17B7B">
        <w:tc>
          <w:tcPr>
            <w:tcW w:w="2616" w:type="dxa"/>
            <w:tcBorders>
              <w:top w:val="nil"/>
              <w:left w:val="nil"/>
              <w:bottom w:val="single" w:sz="4" w:space="0" w:color="auto"/>
              <w:right w:val="nil"/>
            </w:tcBorders>
          </w:tcPr>
          <w:p w14:paraId="7EBC4ACF" w14:textId="77777777" w:rsidR="00C35151" w:rsidRPr="00E03F46" w:rsidRDefault="00C35151" w:rsidP="00D17B7B">
            <w:pPr>
              <w:widowControl w:val="0"/>
              <w:autoSpaceDE w:val="0"/>
              <w:autoSpaceDN w:val="0"/>
              <w:adjustRightInd w:val="0"/>
              <w:spacing w:line="240" w:lineRule="auto"/>
              <w:ind w:firstLine="0"/>
              <w:jc w:val="left"/>
              <w:rPr>
                <w:rFonts w:cs="Times New Roman"/>
                <w:b/>
                <w:sz w:val="20"/>
                <w:szCs w:val="20"/>
                <w:lang w:val="en-US"/>
              </w:rPr>
            </w:pPr>
            <w:r w:rsidRPr="00E03F46">
              <w:rPr>
                <w:rFonts w:cs="Times New Roman"/>
                <w:b/>
                <w:sz w:val="20"/>
                <w:szCs w:val="20"/>
                <w:lang w:val="en-US"/>
              </w:rPr>
              <w:t>Composite ability measure</w:t>
            </w:r>
          </w:p>
        </w:tc>
        <w:tc>
          <w:tcPr>
            <w:tcW w:w="2122" w:type="dxa"/>
            <w:tcBorders>
              <w:top w:val="nil"/>
              <w:left w:val="nil"/>
              <w:bottom w:val="single" w:sz="4" w:space="0" w:color="auto"/>
              <w:right w:val="nil"/>
            </w:tcBorders>
          </w:tcPr>
          <w:p w14:paraId="188EF26B"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0.588 </w:t>
            </w:r>
            <w:r w:rsidRPr="00E03F46">
              <w:rPr>
                <w:rFonts w:cs="Times New Roman"/>
                <w:sz w:val="20"/>
                <w:szCs w:val="20"/>
                <w:vertAlign w:val="superscript"/>
                <w:lang w:val="en-US"/>
              </w:rPr>
              <w:t>1),2)</w:t>
            </w:r>
          </w:p>
        </w:tc>
        <w:tc>
          <w:tcPr>
            <w:tcW w:w="2123" w:type="dxa"/>
            <w:tcBorders>
              <w:top w:val="nil"/>
              <w:left w:val="nil"/>
              <w:bottom w:val="single" w:sz="4" w:space="0" w:color="auto"/>
              <w:right w:val="nil"/>
            </w:tcBorders>
          </w:tcPr>
          <w:p w14:paraId="3EF6B914"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 xml:space="preserve">0.622 </w:t>
            </w:r>
            <w:r w:rsidRPr="00E03F46">
              <w:rPr>
                <w:rFonts w:cs="Times New Roman"/>
                <w:sz w:val="20"/>
                <w:szCs w:val="20"/>
                <w:vertAlign w:val="superscript"/>
                <w:lang w:val="en-US"/>
              </w:rPr>
              <w:t>2)</w:t>
            </w:r>
          </w:p>
        </w:tc>
      </w:tr>
      <w:tr w:rsidR="00C35151" w:rsidRPr="00E03F46" w14:paraId="2738A803" w14:textId="77777777" w:rsidTr="00D17B7B">
        <w:tc>
          <w:tcPr>
            <w:tcW w:w="2616" w:type="dxa"/>
            <w:tcBorders>
              <w:top w:val="nil"/>
              <w:left w:val="nil"/>
              <w:bottom w:val="single" w:sz="4" w:space="0" w:color="auto"/>
              <w:right w:val="nil"/>
            </w:tcBorders>
          </w:tcPr>
          <w:p w14:paraId="6877466B" w14:textId="77777777" w:rsidR="00C35151" w:rsidRPr="00E03F46" w:rsidRDefault="00C35151" w:rsidP="00D17B7B">
            <w:pPr>
              <w:widowControl w:val="0"/>
              <w:autoSpaceDE w:val="0"/>
              <w:autoSpaceDN w:val="0"/>
              <w:adjustRightInd w:val="0"/>
              <w:spacing w:line="240" w:lineRule="auto"/>
              <w:ind w:firstLine="0"/>
              <w:rPr>
                <w:rFonts w:cs="Times New Roman"/>
                <w:i/>
                <w:sz w:val="20"/>
                <w:szCs w:val="20"/>
                <w:lang w:val="en-US"/>
              </w:rPr>
            </w:pPr>
            <w:r w:rsidRPr="00E03F46">
              <w:rPr>
                <w:rFonts w:cs="Times New Roman"/>
                <w:i/>
                <w:sz w:val="20"/>
                <w:szCs w:val="20"/>
                <w:lang w:val="en-US"/>
              </w:rPr>
              <w:t>N</w:t>
            </w:r>
          </w:p>
        </w:tc>
        <w:tc>
          <w:tcPr>
            <w:tcW w:w="2122" w:type="dxa"/>
            <w:tcBorders>
              <w:top w:val="nil"/>
              <w:left w:val="nil"/>
              <w:bottom w:val="single" w:sz="4" w:space="0" w:color="auto"/>
              <w:right w:val="nil"/>
            </w:tcBorders>
          </w:tcPr>
          <w:p w14:paraId="42D55608"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4,308</w:t>
            </w:r>
          </w:p>
        </w:tc>
        <w:tc>
          <w:tcPr>
            <w:tcW w:w="2123" w:type="dxa"/>
            <w:tcBorders>
              <w:top w:val="nil"/>
              <w:left w:val="nil"/>
              <w:bottom w:val="single" w:sz="4" w:space="0" w:color="auto"/>
              <w:right w:val="nil"/>
            </w:tcBorders>
          </w:tcPr>
          <w:p w14:paraId="0D523E9C" w14:textId="77777777" w:rsidR="00C35151" w:rsidRPr="00E03F46" w:rsidRDefault="00C35151" w:rsidP="00D17B7B">
            <w:pPr>
              <w:widowControl w:val="0"/>
              <w:autoSpaceDE w:val="0"/>
              <w:autoSpaceDN w:val="0"/>
              <w:adjustRightInd w:val="0"/>
              <w:spacing w:line="240" w:lineRule="auto"/>
              <w:ind w:left="790" w:firstLine="0"/>
              <w:jc w:val="left"/>
              <w:rPr>
                <w:rFonts w:cs="Times New Roman"/>
                <w:sz w:val="20"/>
                <w:szCs w:val="20"/>
                <w:lang w:val="en-US"/>
              </w:rPr>
            </w:pPr>
            <w:r w:rsidRPr="00E03F46">
              <w:rPr>
                <w:rFonts w:cs="Times New Roman"/>
                <w:sz w:val="20"/>
                <w:szCs w:val="20"/>
                <w:lang w:val="en-US"/>
              </w:rPr>
              <w:t>4,308</w:t>
            </w:r>
          </w:p>
        </w:tc>
      </w:tr>
    </w:tbl>
    <w:p w14:paraId="43923D8D" w14:textId="77777777" w:rsidR="00C35151" w:rsidRPr="00E03F46" w:rsidRDefault="00C35151" w:rsidP="00C35151">
      <w:pPr>
        <w:widowControl w:val="0"/>
        <w:autoSpaceDE w:val="0"/>
        <w:autoSpaceDN w:val="0"/>
        <w:adjustRightInd w:val="0"/>
        <w:spacing w:line="240" w:lineRule="auto"/>
        <w:ind w:right="2266" w:firstLine="0"/>
        <w:jc w:val="left"/>
        <w:rPr>
          <w:rFonts w:cs="Times New Roman"/>
          <w:sz w:val="20"/>
          <w:szCs w:val="20"/>
          <w:lang w:val="en-US"/>
        </w:rPr>
      </w:pPr>
      <w:r w:rsidRPr="00E03F46">
        <w:rPr>
          <w:rFonts w:cs="Times New Roman"/>
          <w:i/>
          <w:iCs/>
          <w:sz w:val="20"/>
          <w:szCs w:val="20"/>
          <w:lang w:val="en-US"/>
        </w:rPr>
        <w:t xml:space="preserve">Notes: </w:t>
      </w:r>
      <w:r w:rsidRPr="00E03F46">
        <w:rPr>
          <w:rFonts w:cs="Times New Roman"/>
          <w:sz w:val="20"/>
          <w:szCs w:val="20"/>
          <w:lang w:val="en-US"/>
        </w:rPr>
        <w:t>1) Statistically significant difference at 5% confidence level with corresponding correlation for TIMMS math score. 2) Statistically significant difference at 5% confidence level with corresponding correlation for TIMMS science score.</w:t>
      </w:r>
      <w:r>
        <w:rPr>
          <w:rFonts w:cs="Times New Roman"/>
          <w:sz w:val="20"/>
          <w:szCs w:val="20"/>
          <w:lang w:val="en-US"/>
        </w:rPr>
        <w:t xml:space="preserve"> </w:t>
      </w:r>
      <w:r w:rsidRPr="00E03F46">
        <w:rPr>
          <w:rFonts w:cs="Times New Roman"/>
          <w:i/>
          <w:sz w:val="20"/>
          <w:szCs w:val="20"/>
          <w:lang w:val="en-US"/>
        </w:rPr>
        <w:t>Source:</w:t>
      </w:r>
      <w:r w:rsidRPr="00E03F46">
        <w:rPr>
          <w:rFonts w:cs="Times New Roman"/>
          <w:sz w:val="20"/>
          <w:szCs w:val="20"/>
          <w:lang w:val="en-US"/>
        </w:rPr>
        <w:t xml:space="preserve"> </w:t>
      </w:r>
      <w:proofErr w:type="spellStart"/>
      <w:r w:rsidRPr="00E03F46">
        <w:rPr>
          <w:rFonts w:cs="Times New Roman"/>
          <w:sz w:val="20"/>
          <w:szCs w:val="20"/>
          <w:lang w:val="en-US"/>
        </w:rPr>
        <w:t>TrEC</w:t>
      </w:r>
      <w:proofErr w:type="spellEnd"/>
      <w:r w:rsidRPr="00E03F46">
        <w:rPr>
          <w:rFonts w:cs="Times New Roman"/>
          <w:sz w:val="20"/>
          <w:szCs w:val="20"/>
          <w:lang w:val="en-US"/>
        </w:rPr>
        <w:t>; own calculations.</w:t>
      </w:r>
    </w:p>
    <w:p w14:paraId="4BCD42AB" w14:textId="77777777" w:rsidR="00C35151" w:rsidRDefault="00C35151" w:rsidP="00C35151">
      <w:pPr>
        <w:ind w:firstLine="0"/>
        <w:rPr>
          <w:lang w:val="en-US"/>
        </w:rPr>
      </w:pPr>
    </w:p>
    <w:p w14:paraId="2B3BE7E2" w14:textId="77777777" w:rsidR="002775EB" w:rsidRDefault="002775EB">
      <w:pPr>
        <w:spacing w:after="200" w:line="276" w:lineRule="auto"/>
        <w:ind w:firstLine="0"/>
        <w:jc w:val="left"/>
        <w:rPr>
          <w:rFonts w:eastAsiaTheme="minorEastAsia" w:cs="Times New Roman"/>
          <w:b/>
          <w:szCs w:val="24"/>
          <w:lang w:val="en-US" w:eastAsia="ru-RU"/>
        </w:rPr>
      </w:pPr>
      <w:r>
        <w:rPr>
          <w:rFonts w:eastAsiaTheme="minorEastAsia" w:cs="Times New Roman"/>
          <w:b/>
          <w:szCs w:val="24"/>
          <w:lang w:val="en-US" w:eastAsia="ru-RU"/>
        </w:rPr>
        <w:br w:type="page"/>
      </w:r>
    </w:p>
    <w:p w14:paraId="7433048C" w14:textId="11635837" w:rsidR="002775EB" w:rsidRPr="002775EB" w:rsidRDefault="002775EB" w:rsidP="002775EB">
      <w:pPr>
        <w:keepNext/>
        <w:widowControl w:val="0"/>
        <w:autoSpaceDE w:val="0"/>
        <w:autoSpaceDN w:val="0"/>
        <w:adjustRightInd w:val="0"/>
        <w:spacing w:line="240" w:lineRule="auto"/>
        <w:ind w:firstLine="0"/>
        <w:jc w:val="left"/>
        <w:rPr>
          <w:rFonts w:eastAsiaTheme="minorEastAsia" w:cs="Times New Roman"/>
          <w:b/>
          <w:szCs w:val="24"/>
          <w:lang w:val="en-US" w:eastAsia="ru-RU"/>
        </w:rPr>
      </w:pPr>
      <w:r w:rsidRPr="002775EB">
        <w:rPr>
          <w:rFonts w:eastAsiaTheme="minorEastAsia" w:cs="Times New Roman"/>
          <w:b/>
          <w:szCs w:val="24"/>
          <w:lang w:val="en-US" w:eastAsia="ru-RU"/>
        </w:rPr>
        <w:lastRenderedPageBreak/>
        <w:t>Table A.1. Multinomial regression models of educational pathways (vocational pathway as baseline outcome)</w:t>
      </w:r>
    </w:p>
    <w:p w14:paraId="644255E2" w14:textId="77777777" w:rsidR="002775EB" w:rsidRPr="002775EB" w:rsidRDefault="002775EB" w:rsidP="002775EB">
      <w:pPr>
        <w:keepNext/>
        <w:widowControl w:val="0"/>
        <w:autoSpaceDE w:val="0"/>
        <w:autoSpaceDN w:val="0"/>
        <w:adjustRightInd w:val="0"/>
        <w:spacing w:line="240" w:lineRule="auto"/>
        <w:ind w:firstLine="0"/>
        <w:jc w:val="left"/>
        <w:rPr>
          <w:rFonts w:eastAsiaTheme="minorEastAsia" w:cs="Times New Roman"/>
          <w:sz w:val="20"/>
          <w:szCs w:val="20"/>
          <w:lang w:val="en-US" w:eastAsia="ru-RU"/>
        </w:rPr>
      </w:pPr>
    </w:p>
    <w:tbl>
      <w:tblPr>
        <w:tblW w:w="5000" w:type="pct"/>
        <w:tblLook w:val="0000" w:firstRow="0" w:lastRow="0" w:firstColumn="0" w:lastColumn="0" w:noHBand="0" w:noVBand="0"/>
      </w:tblPr>
      <w:tblGrid>
        <w:gridCol w:w="1954"/>
        <w:gridCol w:w="1222"/>
        <w:gridCol w:w="1222"/>
        <w:gridCol w:w="1222"/>
        <w:gridCol w:w="1222"/>
        <w:gridCol w:w="1222"/>
        <w:gridCol w:w="1222"/>
      </w:tblGrid>
      <w:tr w:rsidR="002775EB" w:rsidRPr="002775EB" w14:paraId="5580983B" w14:textId="77777777" w:rsidTr="00D17B7B">
        <w:tc>
          <w:tcPr>
            <w:tcW w:w="1052" w:type="pct"/>
            <w:tcBorders>
              <w:top w:val="single" w:sz="4" w:space="0" w:color="auto"/>
            </w:tcBorders>
          </w:tcPr>
          <w:p w14:paraId="5FE5B603"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Borders>
              <w:top w:val="single" w:sz="4" w:space="0" w:color="auto"/>
            </w:tcBorders>
          </w:tcPr>
          <w:p w14:paraId="0A84750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w:t>
            </w:r>
          </w:p>
        </w:tc>
        <w:tc>
          <w:tcPr>
            <w:tcW w:w="658" w:type="pct"/>
            <w:tcBorders>
              <w:top w:val="single" w:sz="4" w:space="0" w:color="auto"/>
            </w:tcBorders>
          </w:tcPr>
          <w:p w14:paraId="168B0CA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w:t>
            </w:r>
          </w:p>
        </w:tc>
        <w:tc>
          <w:tcPr>
            <w:tcW w:w="658" w:type="pct"/>
            <w:tcBorders>
              <w:top w:val="single" w:sz="4" w:space="0" w:color="auto"/>
            </w:tcBorders>
          </w:tcPr>
          <w:p w14:paraId="6F720EF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(3)</w:t>
            </w:r>
          </w:p>
        </w:tc>
        <w:tc>
          <w:tcPr>
            <w:tcW w:w="658" w:type="pct"/>
            <w:tcBorders>
              <w:top w:val="single" w:sz="4" w:space="0" w:color="auto"/>
            </w:tcBorders>
          </w:tcPr>
          <w:p w14:paraId="05B58DA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(4)</w:t>
            </w:r>
          </w:p>
        </w:tc>
        <w:tc>
          <w:tcPr>
            <w:tcW w:w="658" w:type="pct"/>
            <w:tcBorders>
              <w:top w:val="single" w:sz="4" w:space="0" w:color="auto"/>
            </w:tcBorders>
          </w:tcPr>
          <w:p w14:paraId="2106EFE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(5)</w:t>
            </w:r>
          </w:p>
        </w:tc>
        <w:tc>
          <w:tcPr>
            <w:tcW w:w="658" w:type="pct"/>
            <w:tcBorders>
              <w:top w:val="single" w:sz="4" w:space="0" w:color="auto"/>
            </w:tcBorders>
          </w:tcPr>
          <w:p w14:paraId="222DE39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(6)</w:t>
            </w:r>
          </w:p>
        </w:tc>
      </w:tr>
      <w:tr w:rsidR="002775EB" w:rsidRPr="002775EB" w14:paraId="73AB41C3" w14:textId="77777777" w:rsidTr="00D17B7B">
        <w:tc>
          <w:tcPr>
            <w:tcW w:w="1052" w:type="pct"/>
            <w:tcBorders>
              <w:bottom w:val="single" w:sz="4" w:space="0" w:color="auto"/>
            </w:tcBorders>
          </w:tcPr>
          <w:p w14:paraId="415CE5C0"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Borders>
              <w:bottom w:val="single" w:sz="4" w:space="0" w:color="auto"/>
            </w:tcBorders>
          </w:tcPr>
          <w:p w14:paraId="23E6DA2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TIMSS math score </w:t>
            </w:r>
          </w:p>
        </w:tc>
        <w:tc>
          <w:tcPr>
            <w:tcW w:w="658" w:type="pct"/>
            <w:tcBorders>
              <w:bottom w:val="single" w:sz="4" w:space="0" w:color="auto"/>
            </w:tcBorders>
          </w:tcPr>
          <w:p w14:paraId="6A4CF1F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TIMSS science score </w:t>
            </w:r>
          </w:p>
        </w:tc>
        <w:tc>
          <w:tcPr>
            <w:tcW w:w="658" w:type="pct"/>
            <w:tcBorders>
              <w:bottom w:val="single" w:sz="4" w:space="0" w:color="auto"/>
            </w:tcBorders>
          </w:tcPr>
          <w:p w14:paraId="24EBC07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PISA math score </w:t>
            </w:r>
          </w:p>
        </w:tc>
        <w:tc>
          <w:tcPr>
            <w:tcW w:w="658" w:type="pct"/>
            <w:tcBorders>
              <w:bottom w:val="single" w:sz="4" w:space="0" w:color="auto"/>
            </w:tcBorders>
          </w:tcPr>
          <w:p w14:paraId="0342608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PISA reading score </w:t>
            </w:r>
          </w:p>
        </w:tc>
        <w:tc>
          <w:tcPr>
            <w:tcW w:w="658" w:type="pct"/>
            <w:tcBorders>
              <w:bottom w:val="single" w:sz="4" w:space="0" w:color="auto"/>
            </w:tcBorders>
          </w:tcPr>
          <w:p w14:paraId="247D0A3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PISA science score </w:t>
            </w:r>
          </w:p>
        </w:tc>
        <w:tc>
          <w:tcPr>
            <w:tcW w:w="658" w:type="pct"/>
            <w:tcBorders>
              <w:bottom w:val="single" w:sz="4" w:space="0" w:color="auto"/>
            </w:tcBorders>
          </w:tcPr>
          <w:p w14:paraId="6BFD68D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Composite ability measure </w:t>
            </w:r>
          </w:p>
        </w:tc>
      </w:tr>
      <w:tr w:rsidR="002775EB" w:rsidRPr="002775EB" w14:paraId="7C963E04" w14:textId="77777777" w:rsidTr="00D17B7B">
        <w:tc>
          <w:tcPr>
            <w:tcW w:w="5000" w:type="pct"/>
            <w:gridSpan w:val="7"/>
          </w:tcPr>
          <w:p w14:paraId="0C06D14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Academic pathway </w:t>
            </w:r>
          </w:p>
        </w:tc>
      </w:tr>
      <w:tr w:rsidR="002775EB" w:rsidRPr="002775EB" w14:paraId="6BAE276B" w14:textId="77777777" w:rsidTr="00D17B7B">
        <w:tc>
          <w:tcPr>
            <w:tcW w:w="1052" w:type="pct"/>
          </w:tcPr>
          <w:p w14:paraId="2AD62161"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Higher social background</w:t>
            </w:r>
          </w:p>
        </w:tc>
        <w:tc>
          <w:tcPr>
            <w:tcW w:w="658" w:type="pct"/>
          </w:tcPr>
          <w:p w14:paraId="73CB5EB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1.410</w:t>
            </w:r>
            <w:r w:rsidRPr="002775EB">
              <w:rPr>
                <w:rFonts w:eastAsiaTheme="minorEastAsia" w:cs="Times New Roman"/>
                <w:sz w:val="20"/>
                <w:szCs w:val="20"/>
                <w:vertAlign w:val="superscript"/>
                <w:lang w:val="en-US" w:eastAsia="ru-RU"/>
              </w:rPr>
              <w:t>***</w:t>
            </w:r>
          </w:p>
        </w:tc>
        <w:tc>
          <w:tcPr>
            <w:tcW w:w="658" w:type="pct"/>
          </w:tcPr>
          <w:p w14:paraId="5BFDF34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1.435</w:t>
            </w:r>
            <w:r w:rsidRPr="002775EB">
              <w:rPr>
                <w:rFonts w:eastAsiaTheme="minorEastAsia" w:cs="Times New Roman"/>
                <w:sz w:val="20"/>
                <w:szCs w:val="20"/>
                <w:vertAlign w:val="superscript"/>
                <w:lang w:val="en-US" w:eastAsia="ru-RU"/>
              </w:rPr>
              <w:t>***</w:t>
            </w:r>
          </w:p>
        </w:tc>
        <w:tc>
          <w:tcPr>
            <w:tcW w:w="658" w:type="pct"/>
          </w:tcPr>
          <w:p w14:paraId="386A4E8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1.291</w:t>
            </w:r>
            <w:r w:rsidRPr="002775EB">
              <w:rPr>
                <w:rFonts w:eastAsiaTheme="minorEastAsia" w:cs="Times New Roman"/>
                <w:sz w:val="20"/>
                <w:szCs w:val="20"/>
                <w:vertAlign w:val="superscript"/>
                <w:lang w:val="en-US" w:eastAsia="ru-RU"/>
              </w:rPr>
              <w:t>***</w:t>
            </w:r>
          </w:p>
        </w:tc>
        <w:tc>
          <w:tcPr>
            <w:tcW w:w="658" w:type="pct"/>
          </w:tcPr>
          <w:p w14:paraId="6154185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1.325</w:t>
            </w:r>
            <w:r w:rsidRPr="002775EB">
              <w:rPr>
                <w:rFonts w:eastAsiaTheme="minorEastAsia" w:cs="Times New Roman"/>
                <w:sz w:val="20"/>
                <w:szCs w:val="20"/>
                <w:vertAlign w:val="superscript"/>
                <w:lang w:val="en-US" w:eastAsia="ru-RU"/>
              </w:rPr>
              <w:t>***</w:t>
            </w:r>
          </w:p>
        </w:tc>
        <w:tc>
          <w:tcPr>
            <w:tcW w:w="658" w:type="pct"/>
          </w:tcPr>
          <w:p w14:paraId="7236A66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1.324</w:t>
            </w:r>
            <w:r w:rsidRPr="002775EB">
              <w:rPr>
                <w:rFonts w:eastAsiaTheme="minorEastAsia" w:cs="Times New Roman"/>
                <w:sz w:val="20"/>
                <w:szCs w:val="20"/>
                <w:vertAlign w:val="superscript"/>
                <w:lang w:val="en-US" w:eastAsia="ru-RU"/>
              </w:rPr>
              <w:t>***</w:t>
            </w:r>
          </w:p>
        </w:tc>
        <w:tc>
          <w:tcPr>
            <w:tcW w:w="658" w:type="pct"/>
          </w:tcPr>
          <w:p w14:paraId="3599E33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1.241</w:t>
            </w:r>
            <w:r w:rsidRPr="002775EB">
              <w:rPr>
                <w:rFonts w:eastAsiaTheme="minorEastAsia" w:cs="Times New Roman"/>
                <w:sz w:val="20"/>
                <w:szCs w:val="20"/>
                <w:vertAlign w:val="superscript"/>
                <w:lang w:val="en-US" w:eastAsia="ru-RU"/>
              </w:rPr>
              <w:t>***</w:t>
            </w:r>
          </w:p>
        </w:tc>
      </w:tr>
      <w:tr w:rsidR="002775EB" w:rsidRPr="002775EB" w14:paraId="2F8F057E" w14:textId="77777777" w:rsidTr="00D17B7B">
        <w:tc>
          <w:tcPr>
            <w:tcW w:w="1052" w:type="pct"/>
          </w:tcPr>
          <w:p w14:paraId="132B126F"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766EE8A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(0.097)</w:t>
            </w:r>
          </w:p>
        </w:tc>
        <w:tc>
          <w:tcPr>
            <w:tcW w:w="658" w:type="pct"/>
          </w:tcPr>
          <w:p w14:paraId="17DFBDE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(0.096)</w:t>
            </w:r>
          </w:p>
        </w:tc>
        <w:tc>
          <w:tcPr>
            <w:tcW w:w="658" w:type="pct"/>
          </w:tcPr>
          <w:p w14:paraId="7D846CE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(0.103)</w:t>
            </w:r>
          </w:p>
        </w:tc>
        <w:tc>
          <w:tcPr>
            <w:tcW w:w="658" w:type="pct"/>
          </w:tcPr>
          <w:p w14:paraId="5C53BA8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(0.102)</w:t>
            </w:r>
          </w:p>
        </w:tc>
        <w:tc>
          <w:tcPr>
            <w:tcW w:w="658" w:type="pct"/>
          </w:tcPr>
          <w:p w14:paraId="1327C59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(0.101)</w:t>
            </w:r>
          </w:p>
        </w:tc>
        <w:tc>
          <w:tcPr>
            <w:tcW w:w="658" w:type="pct"/>
          </w:tcPr>
          <w:p w14:paraId="77D488B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(0.103)</w:t>
            </w:r>
          </w:p>
        </w:tc>
      </w:tr>
      <w:tr w:rsidR="002775EB" w:rsidRPr="002775EB" w14:paraId="12CB7CFA" w14:textId="77777777" w:rsidTr="00D17B7B">
        <w:tc>
          <w:tcPr>
            <w:tcW w:w="1052" w:type="pct"/>
          </w:tcPr>
          <w:p w14:paraId="1CD2813A"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Ability measure</w:t>
            </w:r>
          </w:p>
        </w:tc>
        <w:tc>
          <w:tcPr>
            <w:tcW w:w="658" w:type="pct"/>
          </w:tcPr>
          <w:p w14:paraId="52B4485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1.074</w:t>
            </w:r>
            <w:r w:rsidRPr="002775EB">
              <w:rPr>
                <w:rFonts w:eastAsiaTheme="minorEastAsia" w:cs="Times New Roman"/>
                <w:sz w:val="20"/>
                <w:szCs w:val="20"/>
                <w:vertAlign w:val="superscript"/>
                <w:lang w:val="en-US" w:eastAsia="ru-RU"/>
              </w:rPr>
              <w:t>***</w:t>
            </w:r>
          </w:p>
        </w:tc>
        <w:tc>
          <w:tcPr>
            <w:tcW w:w="658" w:type="pct"/>
          </w:tcPr>
          <w:p w14:paraId="6948FDC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0.944</w:t>
            </w:r>
            <w:r w:rsidRPr="002775EB">
              <w:rPr>
                <w:rFonts w:eastAsiaTheme="minorEastAsia" w:cs="Times New Roman"/>
                <w:sz w:val="20"/>
                <w:szCs w:val="20"/>
                <w:vertAlign w:val="superscript"/>
                <w:lang w:val="en-US" w:eastAsia="ru-RU"/>
              </w:rPr>
              <w:t>***</w:t>
            </w:r>
          </w:p>
        </w:tc>
        <w:tc>
          <w:tcPr>
            <w:tcW w:w="658" w:type="pct"/>
          </w:tcPr>
          <w:p w14:paraId="303C03D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1.244</w:t>
            </w:r>
            <w:r w:rsidRPr="002775EB">
              <w:rPr>
                <w:rFonts w:eastAsiaTheme="minorEastAsia" w:cs="Times New Roman"/>
                <w:sz w:val="20"/>
                <w:szCs w:val="20"/>
                <w:vertAlign w:val="superscript"/>
                <w:lang w:val="en-US" w:eastAsia="ru-RU"/>
              </w:rPr>
              <w:t>***</w:t>
            </w:r>
          </w:p>
        </w:tc>
        <w:tc>
          <w:tcPr>
            <w:tcW w:w="658" w:type="pct"/>
          </w:tcPr>
          <w:p w14:paraId="096C65C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1.233</w:t>
            </w:r>
            <w:r w:rsidRPr="002775EB">
              <w:rPr>
                <w:rFonts w:eastAsiaTheme="minorEastAsia" w:cs="Times New Roman"/>
                <w:sz w:val="20"/>
                <w:szCs w:val="20"/>
                <w:vertAlign w:val="superscript"/>
                <w:lang w:val="en-US" w:eastAsia="ru-RU"/>
              </w:rPr>
              <w:t>***</w:t>
            </w:r>
          </w:p>
        </w:tc>
        <w:tc>
          <w:tcPr>
            <w:tcW w:w="658" w:type="pct"/>
          </w:tcPr>
          <w:p w14:paraId="1E89B49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1.083</w:t>
            </w:r>
            <w:r w:rsidRPr="002775EB">
              <w:rPr>
                <w:rFonts w:eastAsiaTheme="minorEastAsia" w:cs="Times New Roman"/>
                <w:sz w:val="20"/>
                <w:szCs w:val="20"/>
                <w:vertAlign w:val="superscript"/>
                <w:lang w:val="en-US" w:eastAsia="ru-RU"/>
              </w:rPr>
              <w:t>***</w:t>
            </w:r>
          </w:p>
        </w:tc>
        <w:tc>
          <w:tcPr>
            <w:tcW w:w="658" w:type="pct"/>
          </w:tcPr>
          <w:p w14:paraId="23E13C1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1.307</w:t>
            </w:r>
            <w:r w:rsidRPr="002775EB">
              <w:rPr>
                <w:rFonts w:eastAsiaTheme="minorEastAsia" w:cs="Times New Roman"/>
                <w:sz w:val="20"/>
                <w:szCs w:val="20"/>
                <w:vertAlign w:val="superscript"/>
                <w:lang w:val="en-US" w:eastAsia="ru-RU"/>
              </w:rPr>
              <w:t>***</w:t>
            </w:r>
          </w:p>
        </w:tc>
      </w:tr>
      <w:tr w:rsidR="002775EB" w:rsidRPr="002775EB" w14:paraId="1D91A986" w14:textId="77777777" w:rsidTr="00D17B7B">
        <w:tc>
          <w:tcPr>
            <w:tcW w:w="1052" w:type="pct"/>
          </w:tcPr>
          <w:p w14:paraId="238639E5"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6F67CD1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(0.052)</w:t>
            </w:r>
          </w:p>
        </w:tc>
        <w:tc>
          <w:tcPr>
            <w:tcW w:w="658" w:type="pct"/>
          </w:tcPr>
          <w:p w14:paraId="7C33254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(0.050)</w:t>
            </w:r>
          </w:p>
        </w:tc>
        <w:tc>
          <w:tcPr>
            <w:tcW w:w="658" w:type="pct"/>
          </w:tcPr>
          <w:p w14:paraId="512AB4E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(0.057)</w:t>
            </w:r>
          </w:p>
        </w:tc>
        <w:tc>
          <w:tcPr>
            <w:tcW w:w="658" w:type="pct"/>
          </w:tcPr>
          <w:p w14:paraId="6E6A786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(0.058)</w:t>
            </w:r>
          </w:p>
        </w:tc>
        <w:tc>
          <w:tcPr>
            <w:tcW w:w="658" w:type="pct"/>
          </w:tcPr>
          <w:p w14:paraId="0599DEA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(0.055)</w:t>
            </w:r>
          </w:p>
        </w:tc>
        <w:tc>
          <w:tcPr>
            <w:tcW w:w="658" w:type="pct"/>
          </w:tcPr>
          <w:p w14:paraId="7AFED72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(0.058)</w:t>
            </w:r>
          </w:p>
        </w:tc>
      </w:tr>
      <w:tr w:rsidR="002775EB" w:rsidRPr="002775EB" w14:paraId="4ABD29B1" w14:textId="77777777" w:rsidTr="00D17B7B">
        <w:tc>
          <w:tcPr>
            <w:tcW w:w="1052" w:type="pct"/>
          </w:tcPr>
          <w:p w14:paraId="78213ACA"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Constant</w:t>
            </w:r>
          </w:p>
        </w:tc>
        <w:tc>
          <w:tcPr>
            <w:tcW w:w="658" w:type="pct"/>
          </w:tcPr>
          <w:p w14:paraId="2DD951A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–0.170</w:t>
            </w:r>
          </w:p>
        </w:tc>
        <w:tc>
          <w:tcPr>
            <w:tcW w:w="658" w:type="pct"/>
          </w:tcPr>
          <w:p w14:paraId="051ED16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–0.260</w:t>
            </w:r>
            <w:r w:rsidRPr="002775EB">
              <w:rPr>
                <w:rFonts w:eastAsiaTheme="minorEastAsia" w:cs="Times New Roman"/>
                <w:sz w:val="20"/>
                <w:szCs w:val="20"/>
                <w:vertAlign w:val="superscript"/>
                <w:lang w:val="en-US" w:eastAsia="ru-RU"/>
              </w:rPr>
              <w:t>**</w:t>
            </w:r>
          </w:p>
        </w:tc>
        <w:tc>
          <w:tcPr>
            <w:tcW w:w="658" w:type="pct"/>
          </w:tcPr>
          <w:p w14:paraId="0A53624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–0.119</w:t>
            </w:r>
          </w:p>
        </w:tc>
        <w:tc>
          <w:tcPr>
            <w:tcW w:w="658" w:type="pct"/>
          </w:tcPr>
          <w:p w14:paraId="3BEE618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0.250</w:t>
            </w:r>
            <w:r w:rsidRPr="002775EB">
              <w:rPr>
                <w:rFonts w:eastAsiaTheme="minorEastAsia" w:cs="Times New Roman"/>
                <w:sz w:val="20"/>
                <w:szCs w:val="20"/>
                <w:vertAlign w:val="superscript"/>
                <w:lang w:val="en-US" w:eastAsia="ru-RU"/>
              </w:rPr>
              <w:t>*</w:t>
            </w:r>
          </w:p>
        </w:tc>
        <w:tc>
          <w:tcPr>
            <w:tcW w:w="658" w:type="pct"/>
          </w:tcPr>
          <w:p w14:paraId="431FB40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–0.137</w:t>
            </w:r>
          </w:p>
        </w:tc>
        <w:tc>
          <w:tcPr>
            <w:tcW w:w="658" w:type="pct"/>
          </w:tcPr>
          <w:p w14:paraId="32498D4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0.021</w:t>
            </w:r>
          </w:p>
        </w:tc>
      </w:tr>
      <w:tr w:rsidR="002775EB" w:rsidRPr="002775EB" w14:paraId="1B30D698" w14:textId="77777777" w:rsidTr="00D17B7B">
        <w:tc>
          <w:tcPr>
            <w:tcW w:w="1052" w:type="pct"/>
            <w:tcBorders>
              <w:bottom w:val="single" w:sz="4" w:space="0" w:color="auto"/>
            </w:tcBorders>
          </w:tcPr>
          <w:p w14:paraId="55F549C9"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Borders>
              <w:bottom w:val="single" w:sz="4" w:space="0" w:color="auto"/>
            </w:tcBorders>
          </w:tcPr>
          <w:p w14:paraId="3E1C7FB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(0.090)</w:t>
            </w:r>
          </w:p>
        </w:tc>
        <w:tc>
          <w:tcPr>
            <w:tcW w:w="658" w:type="pct"/>
            <w:tcBorders>
              <w:bottom w:val="single" w:sz="4" w:space="0" w:color="auto"/>
            </w:tcBorders>
          </w:tcPr>
          <w:p w14:paraId="665D0F5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(0.088)</w:t>
            </w:r>
          </w:p>
        </w:tc>
        <w:tc>
          <w:tcPr>
            <w:tcW w:w="658" w:type="pct"/>
            <w:tcBorders>
              <w:bottom w:val="single" w:sz="4" w:space="0" w:color="auto"/>
            </w:tcBorders>
          </w:tcPr>
          <w:p w14:paraId="1B2321E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(0.095)</w:t>
            </w:r>
          </w:p>
        </w:tc>
        <w:tc>
          <w:tcPr>
            <w:tcW w:w="658" w:type="pct"/>
            <w:tcBorders>
              <w:bottom w:val="single" w:sz="4" w:space="0" w:color="auto"/>
            </w:tcBorders>
          </w:tcPr>
          <w:p w14:paraId="2DD765F8"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(0.099)</w:t>
            </w:r>
          </w:p>
        </w:tc>
        <w:tc>
          <w:tcPr>
            <w:tcW w:w="658" w:type="pct"/>
            <w:tcBorders>
              <w:bottom w:val="single" w:sz="4" w:space="0" w:color="auto"/>
            </w:tcBorders>
          </w:tcPr>
          <w:p w14:paraId="3B6F9B88"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(0.094)</w:t>
            </w:r>
          </w:p>
        </w:tc>
        <w:tc>
          <w:tcPr>
            <w:tcW w:w="658" w:type="pct"/>
            <w:tcBorders>
              <w:bottom w:val="single" w:sz="4" w:space="0" w:color="auto"/>
            </w:tcBorders>
          </w:tcPr>
          <w:p w14:paraId="43AE925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(0.097)</w:t>
            </w:r>
          </w:p>
        </w:tc>
      </w:tr>
      <w:tr w:rsidR="002775EB" w:rsidRPr="002775EB" w14:paraId="4EB5FCBB" w14:textId="77777777" w:rsidTr="00D17B7B">
        <w:tc>
          <w:tcPr>
            <w:tcW w:w="5000" w:type="pct"/>
            <w:gridSpan w:val="7"/>
          </w:tcPr>
          <w:p w14:paraId="3BA54788"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 xml:space="preserve">Pseudo-academic pathway </w:t>
            </w:r>
          </w:p>
        </w:tc>
      </w:tr>
      <w:tr w:rsidR="002775EB" w:rsidRPr="002775EB" w14:paraId="3A9AD9B9" w14:textId="77777777" w:rsidTr="00D17B7B">
        <w:tc>
          <w:tcPr>
            <w:tcW w:w="1052" w:type="pct"/>
          </w:tcPr>
          <w:p w14:paraId="36AD60FC"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Higher social background</w:t>
            </w:r>
          </w:p>
        </w:tc>
        <w:tc>
          <w:tcPr>
            <w:tcW w:w="658" w:type="pct"/>
          </w:tcPr>
          <w:p w14:paraId="346E6F3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0.685</w:t>
            </w:r>
            <w:r w:rsidRPr="002775EB">
              <w:rPr>
                <w:rFonts w:eastAsiaTheme="minorEastAsia" w:cs="Times New Roman"/>
                <w:sz w:val="20"/>
                <w:szCs w:val="20"/>
                <w:vertAlign w:val="superscript"/>
                <w:lang w:val="en-US" w:eastAsia="ru-RU"/>
              </w:rPr>
              <w:t>***</w:t>
            </w:r>
          </w:p>
        </w:tc>
        <w:tc>
          <w:tcPr>
            <w:tcW w:w="658" w:type="pct"/>
          </w:tcPr>
          <w:p w14:paraId="0BADC91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0.728</w:t>
            </w:r>
            <w:r w:rsidRPr="002775EB">
              <w:rPr>
                <w:rFonts w:eastAsiaTheme="minorEastAsia" w:cs="Times New Roman"/>
                <w:sz w:val="20"/>
                <w:szCs w:val="20"/>
                <w:vertAlign w:val="superscript"/>
                <w:lang w:val="en-US" w:eastAsia="ru-RU"/>
              </w:rPr>
              <w:t>***</w:t>
            </w:r>
          </w:p>
        </w:tc>
        <w:tc>
          <w:tcPr>
            <w:tcW w:w="658" w:type="pct"/>
          </w:tcPr>
          <w:p w14:paraId="2507E94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0.629</w:t>
            </w:r>
            <w:r w:rsidRPr="002775EB">
              <w:rPr>
                <w:rFonts w:eastAsiaTheme="minorEastAsia" w:cs="Times New Roman"/>
                <w:sz w:val="20"/>
                <w:szCs w:val="20"/>
                <w:vertAlign w:val="superscript"/>
                <w:lang w:val="en-US" w:eastAsia="ru-RU"/>
              </w:rPr>
              <w:t>***</w:t>
            </w:r>
          </w:p>
        </w:tc>
        <w:tc>
          <w:tcPr>
            <w:tcW w:w="658" w:type="pct"/>
          </w:tcPr>
          <w:p w14:paraId="3B8CD03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0.640</w:t>
            </w:r>
            <w:r w:rsidRPr="002775EB">
              <w:rPr>
                <w:rFonts w:eastAsiaTheme="minorEastAsia" w:cs="Times New Roman"/>
                <w:sz w:val="20"/>
                <w:szCs w:val="20"/>
                <w:vertAlign w:val="superscript"/>
                <w:lang w:val="en-US" w:eastAsia="ru-RU"/>
              </w:rPr>
              <w:t>***</w:t>
            </w:r>
          </w:p>
        </w:tc>
        <w:tc>
          <w:tcPr>
            <w:tcW w:w="658" w:type="pct"/>
          </w:tcPr>
          <w:p w14:paraId="241C80C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0.661</w:t>
            </w:r>
            <w:r w:rsidRPr="002775EB">
              <w:rPr>
                <w:rFonts w:eastAsiaTheme="minorEastAsia" w:cs="Times New Roman"/>
                <w:sz w:val="20"/>
                <w:szCs w:val="20"/>
                <w:vertAlign w:val="superscript"/>
                <w:lang w:val="en-US" w:eastAsia="ru-RU"/>
              </w:rPr>
              <w:t>***</w:t>
            </w:r>
          </w:p>
        </w:tc>
        <w:tc>
          <w:tcPr>
            <w:tcW w:w="658" w:type="pct"/>
          </w:tcPr>
          <w:p w14:paraId="7485585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0.635</w:t>
            </w:r>
            <w:r w:rsidRPr="002775EB">
              <w:rPr>
                <w:rFonts w:eastAsiaTheme="minorEastAsia" w:cs="Times New Roman"/>
                <w:sz w:val="20"/>
                <w:szCs w:val="20"/>
                <w:vertAlign w:val="superscript"/>
                <w:lang w:val="en-US" w:eastAsia="ru-RU"/>
              </w:rPr>
              <w:t>***</w:t>
            </w:r>
          </w:p>
        </w:tc>
      </w:tr>
      <w:tr w:rsidR="002775EB" w:rsidRPr="002775EB" w14:paraId="5AE051C5" w14:textId="77777777" w:rsidTr="00D17B7B">
        <w:tc>
          <w:tcPr>
            <w:tcW w:w="1052" w:type="pct"/>
          </w:tcPr>
          <w:p w14:paraId="619F590F"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39287FE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(0.139)</w:t>
            </w:r>
          </w:p>
        </w:tc>
        <w:tc>
          <w:tcPr>
            <w:tcW w:w="658" w:type="pct"/>
          </w:tcPr>
          <w:p w14:paraId="61BF602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(0.139)</w:t>
            </w:r>
          </w:p>
        </w:tc>
        <w:tc>
          <w:tcPr>
            <w:tcW w:w="658" w:type="pct"/>
          </w:tcPr>
          <w:p w14:paraId="05D8FB4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(0.144)</w:t>
            </w:r>
          </w:p>
        </w:tc>
        <w:tc>
          <w:tcPr>
            <w:tcW w:w="658" w:type="pct"/>
          </w:tcPr>
          <w:p w14:paraId="702CD2B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(0.144)</w:t>
            </w:r>
          </w:p>
        </w:tc>
        <w:tc>
          <w:tcPr>
            <w:tcW w:w="658" w:type="pct"/>
          </w:tcPr>
          <w:p w14:paraId="029BD2D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(0.144)</w:t>
            </w:r>
          </w:p>
        </w:tc>
        <w:tc>
          <w:tcPr>
            <w:tcW w:w="658" w:type="pct"/>
          </w:tcPr>
          <w:p w14:paraId="2EF3D28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(0.144)</w:t>
            </w:r>
          </w:p>
        </w:tc>
      </w:tr>
      <w:tr w:rsidR="002775EB" w:rsidRPr="002775EB" w14:paraId="1DCBA585" w14:textId="77777777" w:rsidTr="00D17B7B">
        <w:tc>
          <w:tcPr>
            <w:tcW w:w="1052" w:type="pct"/>
          </w:tcPr>
          <w:p w14:paraId="6AADE368"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Ability measure</w:t>
            </w:r>
          </w:p>
        </w:tc>
        <w:tc>
          <w:tcPr>
            <w:tcW w:w="658" w:type="pct"/>
          </w:tcPr>
          <w:p w14:paraId="2BF9FBC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0.237</w:t>
            </w:r>
            <w:r w:rsidRPr="002775EB">
              <w:rPr>
                <w:rFonts w:eastAsiaTheme="minorEastAsia" w:cs="Times New Roman"/>
                <w:sz w:val="20"/>
                <w:szCs w:val="20"/>
                <w:vertAlign w:val="superscript"/>
                <w:lang w:val="en-US" w:eastAsia="ru-RU"/>
              </w:rPr>
              <w:t>***</w:t>
            </w:r>
          </w:p>
        </w:tc>
        <w:tc>
          <w:tcPr>
            <w:tcW w:w="658" w:type="pct"/>
          </w:tcPr>
          <w:p w14:paraId="303BCEF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0.120</w:t>
            </w:r>
          </w:p>
        </w:tc>
        <w:tc>
          <w:tcPr>
            <w:tcW w:w="658" w:type="pct"/>
          </w:tcPr>
          <w:p w14:paraId="017FA7E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0.425</w:t>
            </w:r>
            <w:r w:rsidRPr="002775EB">
              <w:rPr>
                <w:rFonts w:eastAsiaTheme="minorEastAsia" w:cs="Times New Roman"/>
                <w:sz w:val="20"/>
                <w:szCs w:val="20"/>
                <w:vertAlign w:val="superscript"/>
                <w:lang w:val="en-US" w:eastAsia="ru-RU"/>
              </w:rPr>
              <w:t>***</w:t>
            </w:r>
          </w:p>
        </w:tc>
        <w:tc>
          <w:tcPr>
            <w:tcW w:w="658" w:type="pct"/>
          </w:tcPr>
          <w:p w14:paraId="19584DE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0.416</w:t>
            </w:r>
            <w:r w:rsidRPr="002775EB">
              <w:rPr>
                <w:rFonts w:eastAsiaTheme="minorEastAsia" w:cs="Times New Roman"/>
                <w:sz w:val="20"/>
                <w:szCs w:val="20"/>
                <w:vertAlign w:val="superscript"/>
                <w:lang w:val="en-US" w:eastAsia="ru-RU"/>
              </w:rPr>
              <w:t>***</w:t>
            </w:r>
          </w:p>
        </w:tc>
        <w:tc>
          <w:tcPr>
            <w:tcW w:w="658" w:type="pct"/>
          </w:tcPr>
          <w:p w14:paraId="6BB0CD9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0.315</w:t>
            </w:r>
            <w:r w:rsidRPr="002775EB">
              <w:rPr>
                <w:rFonts w:eastAsiaTheme="minorEastAsia" w:cs="Times New Roman"/>
                <w:sz w:val="20"/>
                <w:szCs w:val="20"/>
                <w:vertAlign w:val="superscript"/>
                <w:lang w:val="en-US" w:eastAsia="ru-RU"/>
              </w:rPr>
              <w:t>***</w:t>
            </w:r>
          </w:p>
        </w:tc>
        <w:tc>
          <w:tcPr>
            <w:tcW w:w="658" w:type="pct"/>
          </w:tcPr>
          <w:p w14:paraId="78CAF95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0.370</w:t>
            </w:r>
            <w:r w:rsidRPr="002775EB">
              <w:rPr>
                <w:rFonts w:eastAsiaTheme="minorEastAsia" w:cs="Times New Roman"/>
                <w:sz w:val="20"/>
                <w:szCs w:val="20"/>
                <w:vertAlign w:val="superscript"/>
                <w:lang w:val="en-US" w:eastAsia="ru-RU"/>
              </w:rPr>
              <w:t>***</w:t>
            </w:r>
          </w:p>
        </w:tc>
      </w:tr>
      <w:tr w:rsidR="002775EB" w:rsidRPr="002775EB" w14:paraId="2C50ABD4" w14:textId="77777777" w:rsidTr="00D17B7B">
        <w:tc>
          <w:tcPr>
            <w:tcW w:w="1052" w:type="pct"/>
          </w:tcPr>
          <w:p w14:paraId="289993FE"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26CF455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(0.071)</w:t>
            </w:r>
          </w:p>
        </w:tc>
        <w:tc>
          <w:tcPr>
            <w:tcW w:w="658" w:type="pct"/>
          </w:tcPr>
          <w:p w14:paraId="78A44B8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(0.069)</w:t>
            </w:r>
          </w:p>
        </w:tc>
        <w:tc>
          <w:tcPr>
            <w:tcW w:w="658" w:type="pct"/>
          </w:tcPr>
          <w:p w14:paraId="51F1B4C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(0.077)</w:t>
            </w:r>
          </w:p>
        </w:tc>
        <w:tc>
          <w:tcPr>
            <w:tcW w:w="658" w:type="pct"/>
          </w:tcPr>
          <w:p w14:paraId="40B2495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(0.078)</w:t>
            </w:r>
          </w:p>
        </w:tc>
        <w:tc>
          <w:tcPr>
            <w:tcW w:w="658" w:type="pct"/>
          </w:tcPr>
          <w:p w14:paraId="12B41D7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(0.075)</w:t>
            </w:r>
          </w:p>
        </w:tc>
        <w:tc>
          <w:tcPr>
            <w:tcW w:w="658" w:type="pct"/>
          </w:tcPr>
          <w:p w14:paraId="22DA508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(0.077)</w:t>
            </w:r>
          </w:p>
        </w:tc>
      </w:tr>
      <w:tr w:rsidR="002775EB" w:rsidRPr="002775EB" w14:paraId="40204CE1" w14:textId="77777777" w:rsidTr="00D17B7B">
        <w:tc>
          <w:tcPr>
            <w:tcW w:w="1052" w:type="pct"/>
          </w:tcPr>
          <w:p w14:paraId="2DDCBADC"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Constant</w:t>
            </w:r>
          </w:p>
        </w:tc>
        <w:tc>
          <w:tcPr>
            <w:tcW w:w="658" w:type="pct"/>
          </w:tcPr>
          <w:p w14:paraId="07F95168"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–1.989</w:t>
            </w:r>
            <w:r w:rsidRPr="002775EB">
              <w:rPr>
                <w:rFonts w:eastAsiaTheme="minorEastAsia" w:cs="Times New Roman"/>
                <w:sz w:val="20"/>
                <w:szCs w:val="20"/>
                <w:vertAlign w:val="superscript"/>
                <w:lang w:val="en-US" w:eastAsia="ru-RU"/>
              </w:rPr>
              <w:t>***</w:t>
            </w:r>
          </w:p>
        </w:tc>
        <w:tc>
          <w:tcPr>
            <w:tcW w:w="658" w:type="pct"/>
          </w:tcPr>
          <w:p w14:paraId="02B4C13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–2.076</w:t>
            </w:r>
            <w:r w:rsidRPr="002775EB">
              <w:rPr>
                <w:rFonts w:eastAsiaTheme="minorEastAsia" w:cs="Times New Roman"/>
                <w:sz w:val="20"/>
                <w:szCs w:val="20"/>
                <w:vertAlign w:val="superscript"/>
                <w:lang w:val="en-US" w:eastAsia="ru-RU"/>
              </w:rPr>
              <w:t>***</w:t>
            </w:r>
          </w:p>
        </w:tc>
        <w:tc>
          <w:tcPr>
            <w:tcW w:w="658" w:type="pct"/>
          </w:tcPr>
          <w:p w14:paraId="6B6480C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–1.864</w:t>
            </w:r>
            <w:r w:rsidRPr="002775EB">
              <w:rPr>
                <w:rFonts w:eastAsiaTheme="minorEastAsia" w:cs="Times New Roman"/>
                <w:sz w:val="20"/>
                <w:szCs w:val="20"/>
                <w:vertAlign w:val="superscript"/>
                <w:lang w:val="en-US" w:eastAsia="ru-RU"/>
              </w:rPr>
              <w:t>***</w:t>
            </w:r>
          </w:p>
        </w:tc>
        <w:tc>
          <w:tcPr>
            <w:tcW w:w="658" w:type="pct"/>
          </w:tcPr>
          <w:p w14:paraId="09ACC4B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–1.758</w:t>
            </w:r>
            <w:r w:rsidRPr="002775EB">
              <w:rPr>
                <w:rFonts w:eastAsiaTheme="minorEastAsia" w:cs="Times New Roman"/>
                <w:sz w:val="20"/>
                <w:szCs w:val="20"/>
                <w:vertAlign w:val="superscript"/>
                <w:lang w:val="en-US" w:eastAsia="ru-RU"/>
              </w:rPr>
              <w:t>***</w:t>
            </w:r>
          </w:p>
        </w:tc>
        <w:tc>
          <w:tcPr>
            <w:tcW w:w="658" w:type="pct"/>
          </w:tcPr>
          <w:p w14:paraId="44042F7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–1.929</w:t>
            </w:r>
            <w:r w:rsidRPr="002775EB">
              <w:rPr>
                <w:rFonts w:eastAsiaTheme="minorEastAsia" w:cs="Times New Roman"/>
                <w:sz w:val="20"/>
                <w:szCs w:val="20"/>
                <w:vertAlign w:val="superscript"/>
                <w:lang w:val="en-US" w:eastAsia="ru-RU"/>
              </w:rPr>
              <w:t>***</w:t>
            </w:r>
          </w:p>
        </w:tc>
        <w:tc>
          <w:tcPr>
            <w:tcW w:w="658" w:type="pct"/>
          </w:tcPr>
          <w:p w14:paraId="6F9EF4C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–1.847</w:t>
            </w:r>
            <w:r w:rsidRPr="002775EB">
              <w:rPr>
                <w:rFonts w:eastAsiaTheme="minorEastAsia" w:cs="Times New Roman"/>
                <w:sz w:val="20"/>
                <w:szCs w:val="20"/>
                <w:vertAlign w:val="superscript"/>
                <w:lang w:val="en-US" w:eastAsia="ru-RU"/>
              </w:rPr>
              <w:t>***</w:t>
            </w:r>
          </w:p>
        </w:tc>
      </w:tr>
      <w:tr w:rsidR="002775EB" w:rsidRPr="002775EB" w14:paraId="5BEAAA51" w14:textId="77777777" w:rsidTr="00D17B7B">
        <w:tc>
          <w:tcPr>
            <w:tcW w:w="1052" w:type="pct"/>
            <w:tcBorders>
              <w:bottom w:val="single" w:sz="4" w:space="0" w:color="auto"/>
            </w:tcBorders>
          </w:tcPr>
          <w:p w14:paraId="32323991"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Borders>
              <w:bottom w:val="single" w:sz="4" w:space="0" w:color="auto"/>
            </w:tcBorders>
          </w:tcPr>
          <w:p w14:paraId="4BD743B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(0.149)</w:t>
            </w:r>
          </w:p>
        </w:tc>
        <w:tc>
          <w:tcPr>
            <w:tcW w:w="658" w:type="pct"/>
            <w:tcBorders>
              <w:bottom w:val="single" w:sz="4" w:space="0" w:color="auto"/>
            </w:tcBorders>
          </w:tcPr>
          <w:p w14:paraId="1C4EC89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(0.149)</w:t>
            </w:r>
          </w:p>
        </w:tc>
        <w:tc>
          <w:tcPr>
            <w:tcW w:w="658" w:type="pct"/>
            <w:tcBorders>
              <w:bottom w:val="single" w:sz="4" w:space="0" w:color="auto"/>
            </w:tcBorders>
          </w:tcPr>
          <w:p w14:paraId="1571DFF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(0.153)</w:t>
            </w:r>
          </w:p>
        </w:tc>
        <w:tc>
          <w:tcPr>
            <w:tcW w:w="658" w:type="pct"/>
            <w:tcBorders>
              <w:bottom w:val="single" w:sz="4" w:space="0" w:color="auto"/>
            </w:tcBorders>
          </w:tcPr>
          <w:p w14:paraId="4CA8AB9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(0.160)</w:t>
            </w:r>
          </w:p>
        </w:tc>
        <w:tc>
          <w:tcPr>
            <w:tcW w:w="658" w:type="pct"/>
            <w:tcBorders>
              <w:bottom w:val="single" w:sz="4" w:space="0" w:color="auto"/>
            </w:tcBorders>
          </w:tcPr>
          <w:p w14:paraId="7DCAA80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(0.153)</w:t>
            </w:r>
          </w:p>
        </w:tc>
        <w:tc>
          <w:tcPr>
            <w:tcW w:w="658" w:type="pct"/>
            <w:tcBorders>
              <w:bottom w:val="single" w:sz="4" w:space="0" w:color="auto"/>
            </w:tcBorders>
          </w:tcPr>
          <w:p w14:paraId="629DD46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(0.156)</w:t>
            </w:r>
          </w:p>
        </w:tc>
      </w:tr>
      <w:tr w:rsidR="002775EB" w:rsidRPr="002775EB" w14:paraId="6BB0ABE5" w14:textId="77777777" w:rsidTr="00D17B7B">
        <w:tc>
          <w:tcPr>
            <w:tcW w:w="5000" w:type="pct"/>
            <w:gridSpan w:val="7"/>
          </w:tcPr>
          <w:p w14:paraId="5494CE0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Other unclassified pathways</w:t>
            </w:r>
          </w:p>
        </w:tc>
      </w:tr>
      <w:tr w:rsidR="002775EB" w:rsidRPr="002775EB" w14:paraId="7BC6B583" w14:textId="77777777" w:rsidTr="00D17B7B">
        <w:tc>
          <w:tcPr>
            <w:tcW w:w="1052" w:type="pct"/>
          </w:tcPr>
          <w:p w14:paraId="73BF69B9"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Higher social background</w:t>
            </w:r>
          </w:p>
        </w:tc>
        <w:tc>
          <w:tcPr>
            <w:tcW w:w="658" w:type="pct"/>
          </w:tcPr>
          <w:p w14:paraId="1147CFE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0.412</w:t>
            </w:r>
            <w:r w:rsidRPr="002775EB">
              <w:rPr>
                <w:rFonts w:eastAsiaTheme="minorEastAsia" w:cs="Times New Roman"/>
                <w:sz w:val="20"/>
                <w:szCs w:val="20"/>
                <w:vertAlign w:val="superscript"/>
                <w:lang w:val="en-US" w:eastAsia="ru-RU"/>
              </w:rPr>
              <w:t>**</w:t>
            </w:r>
          </w:p>
        </w:tc>
        <w:tc>
          <w:tcPr>
            <w:tcW w:w="658" w:type="pct"/>
          </w:tcPr>
          <w:p w14:paraId="0AFE8CF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0.438</w:t>
            </w:r>
            <w:r w:rsidRPr="002775EB">
              <w:rPr>
                <w:rFonts w:eastAsiaTheme="minorEastAsia" w:cs="Times New Roman"/>
                <w:sz w:val="20"/>
                <w:szCs w:val="20"/>
                <w:vertAlign w:val="superscript"/>
                <w:lang w:val="en-US" w:eastAsia="ru-RU"/>
              </w:rPr>
              <w:t>***</w:t>
            </w:r>
          </w:p>
        </w:tc>
        <w:tc>
          <w:tcPr>
            <w:tcW w:w="658" w:type="pct"/>
          </w:tcPr>
          <w:p w14:paraId="6273536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0.419</w:t>
            </w:r>
            <w:r w:rsidRPr="002775EB">
              <w:rPr>
                <w:rFonts w:eastAsiaTheme="minorEastAsia" w:cs="Times New Roman"/>
                <w:sz w:val="20"/>
                <w:szCs w:val="20"/>
                <w:vertAlign w:val="superscript"/>
                <w:lang w:val="en-US" w:eastAsia="ru-RU"/>
              </w:rPr>
              <w:t>**</w:t>
            </w:r>
          </w:p>
        </w:tc>
        <w:tc>
          <w:tcPr>
            <w:tcW w:w="658" w:type="pct"/>
          </w:tcPr>
          <w:p w14:paraId="7D533E3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0.487</w:t>
            </w:r>
            <w:r w:rsidRPr="002775EB">
              <w:rPr>
                <w:rFonts w:eastAsiaTheme="minorEastAsia" w:cs="Times New Roman"/>
                <w:sz w:val="20"/>
                <w:szCs w:val="20"/>
                <w:vertAlign w:val="superscript"/>
                <w:lang w:val="en-US" w:eastAsia="ru-RU"/>
              </w:rPr>
              <w:t>***</w:t>
            </w:r>
          </w:p>
        </w:tc>
        <w:tc>
          <w:tcPr>
            <w:tcW w:w="658" w:type="pct"/>
          </w:tcPr>
          <w:p w14:paraId="7D863C0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0.465</w:t>
            </w:r>
            <w:r w:rsidRPr="002775EB">
              <w:rPr>
                <w:rFonts w:eastAsiaTheme="minorEastAsia" w:cs="Times New Roman"/>
                <w:sz w:val="20"/>
                <w:szCs w:val="20"/>
                <w:vertAlign w:val="superscript"/>
                <w:lang w:val="en-US" w:eastAsia="ru-RU"/>
              </w:rPr>
              <w:t>***</w:t>
            </w:r>
          </w:p>
        </w:tc>
        <w:tc>
          <w:tcPr>
            <w:tcW w:w="658" w:type="pct"/>
          </w:tcPr>
          <w:p w14:paraId="21BA1BB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0.430</w:t>
            </w:r>
            <w:r w:rsidRPr="002775EB">
              <w:rPr>
                <w:rFonts w:eastAsiaTheme="minorEastAsia" w:cs="Times New Roman"/>
                <w:sz w:val="20"/>
                <w:szCs w:val="20"/>
                <w:vertAlign w:val="superscript"/>
                <w:lang w:val="en-US" w:eastAsia="ru-RU"/>
              </w:rPr>
              <w:t>**</w:t>
            </w:r>
          </w:p>
        </w:tc>
      </w:tr>
      <w:tr w:rsidR="002775EB" w:rsidRPr="002775EB" w14:paraId="3A40D8F5" w14:textId="77777777" w:rsidTr="00D17B7B">
        <w:tc>
          <w:tcPr>
            <w:tcW w:w="1052" w:type="pct"/>
          </w:tcPr>
          <w:p w14:paraId="112E67F7"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3C572E7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(0.130)</w:t>
            </w:r>
          </w:p>
        </w:tc>
        <w:tc>
          <w:tcPr>
            <w:tcW w:w="658" w:type="pct"/>
          </w:tcPr>
          <w:p w14:paraId="779F87B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(0.130)</w:t>
            </w:r>
          </w:p>
        </w:tc>
        <w:tc>
          <w:tcPr>
            <w:tcW w:w="658" w:type="pct"/>
          </w:tcPr>
          <w:p w14:paraId="3E265F8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(0.135)</w:t>
            </w:r>
          </w:p>
        </w:tc>
        <w:tc>
          <w:tcPr>
            <w:tcW w:w="658" w:type="pct"/>
          </w:tcPr>
          <w:p w14:paraId="612CAFF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(0.134)</w:t>
            </w:r>
          </w:p>
        </w:tc>
        <w:tc>
          <w:tcPr>
            <w:tcW w:w="658" w:type="pct"/>
          </w:tcPr>
          <w:p w14:paraId="0A67675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(0.135)</w:t>
            </w:r>
          </w:p>
        </w:tc>
        <w:tc>
          <w:tcPr>
            <w:tcW w:w="658" w:type="pct"/>
          </w:tcPr>
          <w:p w14:paraId="3BF4D29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(0.135)</w:t>
            </w:r>
          </w:p>
        </w:tc>
      </w:tr>
      <w:tr w:rsidR="002775EB" w:rsidRPr="002775EB" w14:paraId="1E35B2DB" w14:textId="77777777" w:rsidTr="00D17B7B">
        <w:tc>
          <w:tcPr>
            <w:tcW w:w="1052" w:type="pct"/>
          </w:tcPr>
          <w:p w14:paraId="64CFF582"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Ability measure</w:t>
            </w:r>
          </w:p>
        </w:tc>
        <w:tc>
          <w:tcPr>
            <w:tcW w:w="658" w:type="pct"/>
          </w:tcPr>
          <w:p w14:paraId="190A798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0.359</w:t>
            </w:r>
            <w:r w:rsidRPr="002775EB">
              <w:rPr>
                <w:rFonts w:eastAsiaTheme="minorEastAsia" w:cs="Times New Roman"/>
                <w:sz w:val="20"/>
                <w:szCs w:val="20"/>
                <w:vertAlign w:val="superscript"/>
                <w:lang w:val="en-US" w:eastAsia="ru-RU"/>
              </w:rPr>
              <w:t>***</w:t>
            </w:r>
          </w:p>
        </w:tc>
        <w:tc>
          <w:tcPr>
            <w:tcW w:w="658" w:type="pct"/>
          </w:tcPr>
          <w:p w14:paraId="41E43EA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0.255</w:t>
            </w:r>
            <w:r w:rsidRPr="002775EB">
              <w:rPr>
                <w:rFonts w:eastAsiaTheme="minorEastAsia" w:cs="Times New Roman"/>
                <w:sz w:val="20"/>
                <w:szCs w:val="20"/>
                <w:vertAlign w:val="superscript"/>
                <w:lang w:val="en-US" w:eastAsia="ru-RU"/>
              </w:rPr>
              <w:t>***</w:t>
            </w:r>
          </w:p>
        </w:tc>
        <w:tc>
          <w:tcPr>
            <w:tcW w:w="658" w:type="pct"/>
          </w:tcPr>
          <w:p w14:paraId="6C45538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0.504</w:t>
            </w:r>
            <w:r w:rsidRPr="002775EB">
              <w:rPr>
                <w:rFonts w:eastAsiaTheme="minorEastAsia" w:cs="Times New Roman"/>
                <w:sz w:val="20"/>
                <w:szCs w:val="20"/>
                <w:vertAlign w:val="superscript"/>
                <w:lang w:val="en-US" w:eastAsia="ru-RU"/>
              </w:rPr>
              <w:t>***</w:t>
            </w:r>
          </w:p>
        </w:tc>
        <w:tc>
          <w:tcPr>
            <w:tcW w:w="658" w:type="pct"/>
          </w:tcPr>
          <w:p w14:paraId="3AA161D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0.318</w:t>
            </w:r>
            <w:r w:rsidRPr="002775EB">
              <w:rPr>
                <w:rFonts w:eastAsiaTheme="minorEastAsia" w:cs="Times New Roman"/>
                <w:sz w:val="20"/>
                <w:szCs w:val="20"/>
                <w:vertAlign w:val="superscript"/>
                <w:lang w:val="en-US" w:eastAsia="ru-RU"/>
              </w:rPr>
              <w:t>***</w:t>
            </w:r>
          </w:p>
        </w:tc>
        <w:tc>
          <w:tcPr>
            <w:tcW w:w="658" w:type="pct"/>
          </w:tcPr>
          <w:p w14:paraId="5C33572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0.328</w:t>
            </w:r>
            <w:r w:rsidRPr="002775EB">
              <w:rPr>
                <w:rFonts w:eastAsiaTheme="minorEastAsia" w:cs="Times New Roman"/>
                <w:sz w:val="20"/>
                <w:szCs w:val="20"/>
                <w:vertAlign w:val="superscript"/>
                <w:lang w:val="en-US" w:eastAsia="ru-RU"/>
              </w:rPr>
              <w:t>***</w:t>
            </w:r>
          </w:p>
        </w:tc>
        <w:tc>
          <w:tcPr>
            <w:tcW w:w="658" w:type="pct"/>
          </w:tcPr>
          <w:p w14:paraId="38A49D5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0.426</w:t>
            </w:r>
            <w:r w:rsidRPr="002775EB">
              <w:rPr>
                <w:rFonts w:eastAsiaTheme="minorEastAsia" w:cs="Times New Roman"/>
                <w:sz w:val="20"/>
                <w:szCs w:val="20"/>
                <w:vertAlign w:val="superscript"/>
                <w:lang w:val="en-US" w:eastAsia="ru-RU"/>
              </w:rPr>
              <w:t>***</w:t>
            </w:r>
          </w:p>
        </w:tc>
      </w:tr>
      <w:tr w:rsidR="002775EB" w:rsidRPr="002775EB" w14:paraId="175EA0C6" w14:textId="77777777" w:rsidTr="00D17B7B">
        <w:tc>
          <w:tcPr>
            <w:tcW w:w="1052" w:type="pct"/>
          </w:tcPr>
          <w:p w14:paraId="0D1B4CA2"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6B57AAD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(0.064)</w:t>
            </w:r>
          </w:p>
        </w:tc>
        <w:tc>
          <w:tcPr>
            <w:tcW w:w="658" w:type="pct"/>
          </w:tcPr>
          <w:p w14:paraId="1D4282C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(0.062)</w:t>
            </w:r>
          </w:p>
        </w:tc>
        <w:tc>
          <w:tcPr>
            <w:tcW w:w="658" w:type="pct"/>
          </w:tcPr>
          <w:p w14:paraId="1B9EEED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(0.070)</w:t>
            </w:r>
          </w:p>
        </w:tc>
        <w:tc>
          <w:tcPr>
            <w:tcW w:w="658" w:type="pct"/>
          </w:tcPr>
          <w:p w14:paraId="3B3EA2C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(0.071)</w:t>
            </w:r>
          </w:p>
        </w:tc>
        <w:tc>
          <w:tcPr>
            <w:tcW w:w="658" w:type="pct"/>
          </w:tcPr>
          <w:p w14:paraId="6CF8586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(0.068)</w:t>
            </w:r>
          </w:p>
        </w:tc>
        <w:tc>
          <w:tcPr>
            <w:tcW w:w="658" w:type="pct"/>
          </w:tcPr>
          <w:p w14:paraId="0E636D2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(0.070)</w:t>
            </w:r>
          </w:p>
        </w:tc>
      </w:tr>
      <w:tr w:rsidR="002775EB" w:rsidRPr="002775EB" w14:paraId="21800BE3" w14:textId="77777777" w:rsidTr="00D17B7B">
        <w:tc>
          <w:tcPr>
            <w:tcW w:w="1052" w:type="pct"/>
          </w:tcPr>
          <w:p w14:paraId="244A833B"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Constant</w:t>
            </w:r>
          </w:p>
        </w:tc>
        <w:tc>
          <w:tcPr>
            <w:tcW w:w="658" w:type="pct"/>
          </w:tcPr>
          <w:p w14:paraId="599923D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–0.629</w:t>
            </w:r>
            <w:r w:rsidRPr="002775EB">
              <w:rPr>
                <w:rFonts w:eastAsiaTheme="minorEastAsia" w:cs="Times New Roman"/>
                <w:sz w:val="20"/>
                <w:szCs w:val="20"/>
                <w:vertAlign w:val="superscript"/>
                <w:lang w:val="en-US" w:eastAsia="ru-RU"/>
              </w:rPr>
              <w:t>***</w:t>
            </w:r>
          </w:p>
        </w:tc>
        <w:tc>
          <w:tcPr>
            <w:tcW w:w="658" w:type="pct"/>
          </w:tcPr>
          <w:p w14:paraId="630175F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–0.702</w:t>
            </w:r>
            <w:r w:rsidRPr="002775EB">
              <w:rPr>
                <w:rFonts w:eastAsiaTheme="minorEastAsia" w:cs="Times New Roman"/>
                <w:sz w:val="20"/>
                <w:szCs w:val="20"/>
                <w:vertAlign w:val="superscript"/>
                <w:lang w:val="en-US" w:eastAsia="ru-RU"/>
              </w:rPr>
              <w:t>***</w:t>
            </w:r>
          </w:p>
        </w:tc>
        <w:tc>
          <w:tcPr>
            <w:tcW w:w="658" w:type="pct"/>
          </w:tcPr>
          <w:p w14:paraId="4A16F2F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–0.570</w:t>
            </w:r>
            <w:r w:rsidRPr="002775EB">
              <w:rPr>
                <w:rFonts w:eastAsiaTheme="minorEastAsia" w:cs="Times New Roman"/>
                <w:sz w:val="20"/>
                <w:szCs w:val="20"/>
                <w:vertAlign w:val="superscript"/>
                <w:lang w:val="en-US" w:eastAsia="ru-RU"/>
              </w:rPr>
              <w:t>***</w:t>
            </w:r>
          </w:p>
        </w:tc>
        <w:tc>
          <w:tcPr>
            <w:tcW w:w="658" w:type="pct"/>
          </w:tcPr>
          <w:p w14:paraId="6D74126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–0.562</w:t>
            </w:r>
            <w:r w:rsidRPr="002775EB">
              <w:rPr>
                <w:rFonts w:eastAsiaTheme="minorEastAsia" w:cs="Times New Roman"/>
                <w:sz w:val="20"/>
                <w:szCs w:val="20"/>
                <w:vertAlign w:val="superscript"/>
                <w:lang w:val="en-US" w:eastAsia="ru-RU"/>
              </w:rPr>
              <w:t>***</w:t>
            </w:r>
          </w:p>
        </w:tc>
        <w:tc>
          <w:tcPr>
            <w:tcW w:w="658" w:type="pct"/>
          </w:tcPr>
          <w:p w14:paraId="18F39C8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–0.653</w:t>
            </w:r>
            <w:r w:rsidRPr="002775EB">
              <w:rPr>
                <w:rFonts w:eastAsiaTheme="minorEastAsia" w:cs="Times New Roman"/>
                <w:sz w:val="20"/>
                <w:szCs w:val="20"/>
                <w:vertAlign w:val="superscript"/>
                <w:lang w:val="en-US" w:eastAsia="ru-RU"/>
              </w:rPr>
              <w:t>***</w:t>
            </w:r>
          </w:p>
        </w:tc>
        <w:tc>
          <w:tcPr>
            <w:tcW w:w="658" w:type="pct"/>
          </w:tcPr>
          <w:p w14:paraId="54C8415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–0.550</w:t>
            </w:r>
            <w:r w:rsidRPr="002775EB">
              <w:rPr>
                <w:rFonts w:eastAsiaTheme="minorEastAsia" w:cs="Times New Roman"/>
                <w:sz w:val="20"/>
                <w:szCs w:val="20"/>
                <w:vertAlign w:val="superscript"/>
                <w:lang w:val="en-US" w:eastAsia="ru-RU"/>
              </w:rPr>
              <w:t>***</w:t>
            </w:r>
          </w:p>
        </w:tc>
      </w:tr>
      <w:tr w:rsidR="002775EB" w:rsidRPr="002775EB" w14:paraId="2B301940" w14:textId="77777777" w:rsidTr="00D17B7B">
        <w:tc>
          <w:tcPr>
            <w:tcW w:w="1052" w:type="pct"/>
            <w:tcBorders>
              <w:bottom w:val="single" w:sz="4" w:space="0" w:color="auto"/>
            </w:tcBorders>
          </w:tcPr>
          <w:p w14:paraId="4854D669"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Borders>
              <w:bottom w:val="single" w:sz="4" w:space="0" w:color="auto"/>
            </w:tcBorders>
          </w:tcPr>
          <w:p w14:paraId="79B256E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(0.108)</w:t>
            </w:r>
          </w:p>
        </w:tc>
        <w:tc>
          <w:tcPr>
            <w:tcW w:w="658" w:type="pct"/>
            <w:tcBorders>
              <w:bottom w:val="single" w:sz="4" w:space="0" w:color="auto"/>
            </w:tcBorders>
          </w:tcPr>
          <w:p w14:paraId="49BCD72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(0.107)</w:t>
            </w:r>
          </w:p>
        </w:tc>
        <w:tc>
          <w:tcPr>
            <w:tcW w:w="658" w:type="pct"/>
            <w:tcBorders>
              <w:bottom w:val="single" w:sz="4" w:space="0" w:color="auto"/>
            </w:tcBorders>
          </w:tcPr>
          <w:p w14:paraId="6C97AB8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(0.114)</w:t>
            </w:r>
          </w:p>
        </w:tc>
        <w:tc>
          <w:tcPr>
            <w:tcW w:w="658" w:type="pct"/>
            <w:tcBorders>
              <w:bottom w:val="single" w:sz="4" w:space="0" w:color="auto"/>
            </w:tcBorders>
          </w:tcPr>
          <w:p w14:paraId="119CD74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(0.123)</w:t>
            </w:r>
          </w:p>
        </w:tc>
        <w:tc>
          <w:tcPr>
            <w:tcW w:w="658" w:type="pct"/>
            <w:tcBorders>
              <w:bottom w:val="single" w:sz="4" w:space="0" w:color="auto"/>
            </w:tcBorders>
          </w:tcPr>
          <w:p w14:paraId="48FC7CB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(0.114)</w:t>
            </w:r>
          </w:p>
        </w:tc>
        <w:tc>
          <w:tcPr>
            <w:tcW w:w="658" w:type="pct"/>
            <w:tcBorders>
              <w:bottom w:val="single" w:sz="4" w:space="0" w:color="auto"/>
            </w:tcBorders>
          </w:tcPr>
          <w:p w14:paraId="194946D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(0.117)</w:t>
            </w:r>
          </w:p>
        </w:tc>
      </w:tr>
      <w:tr w:rsidR="002775EB" w:rsidRPr="00256D32" w14:paraId="55E5F82D" w14:textId="77777777" w:rsidTr="00D17B7B">
        <w:tc>
          <w:tcPr>
            <w:tcW w:w="5000" w:type="pct"/>
            <w:gridSpan w:val="7"/>
          </w:tcPr>
          <w:p w14:paraId="6F456FF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Case missing in NP Wave 5</w:t>
            </w:r>
          </w:p>
        </w:tc>
      </w:tr>
      <w:tr w:rsidR="002775EB" w:rsidRPr="002775EB" w14:paraId="24F8EC7A" w14:textId="77777777" w:rsidTr="00D17B7B">
        <w:tc>
          <w:tcPr>
            <w:tcW w:w="1052" w:type="pct"/>
          </w:tcPr>
          <w:p w14:paraId="726ECA42"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Higher social background</w:t>
            </w:r>
          </w:p>
        </w:tc>
        <w:tc>
          <w:tcPr>
            <w:tcW w:w="658" w:type="pct"/>
          </w:tcPr>
          <w:p w14:paraId="1F52461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0.689</w:t>
            </w:r>
            <w:r w:rsidRPr="002775EB">
              <w:rPr>
                <w:rFonts w:eastAsiaTheme="minorEastAsia" w:cs="Times New Roman"/>
                <w:sz w:val="20"/>
                <w:szCs w:val="20"/>
                <w:vertAlign w:val="superscript"/>
                <w:lang w:val="en-US" w:eastAsia="ru-RU"/>
              </w:rPr>
              <w:t>***</w:t>
            </w:r>
          </w:p>
        </w:tc>
        <w:tc>
          <w:tcPr>
            <w:tcW w:w="658" w:type="pct"/>
          </w:tcPr>
          <w:p w14:paraId="3258448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0.712</w:t>
            </w:r>
            <w:r w:rsidRPr="002775EB">
              <w:rPr>
                <w:rFonts w:eastAsiaTheme="minorEastAsia" w:cs="Times New Roman"/>
                <w:sz w:val="20"/>
                <w:szCs w:val="20"/>
                <w:vertAlign w:val="superscript"/>
                <w:lang w:val="en-US" w:eastAsia="ru-RU"/>
              </w:rPr>
              <w:t>***</w:t>
            </w:r>
          </w:p>
        </w:tc>
        <w:tc>
          <w:tcPr>
            <w:tcW w:w="658" w:type="pct"/>
          </w:tcPr>
          <w:p w14:paraId="7F49331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0.589</w:t>
            </w:r>
            <w:r w:rsidRPr="002775EB">
              <w:rPr>
                <w:rFonts w:eastAsiaTheme="minorEastAsia" w:cs="Times New Roman"/>
                <w:sz w:val="20"/>
                <w:szCs w:val="20"/>
                <w:vertAlign w:val="superscript"/>
                <w:lang w:val="en-US" w:eastAsia="ru-RU"/>
              </w:rPr>
              <w:t>***</w:t>
            </w:r>
          </w:p>
        </w:tc>
        <w:tc>
          <w:tcPr>
            <w:tcW w:w="658" w:type="pct"/>
          </w:tcPr>
          <w:p w14:paraId="363A3A4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0.624</w:t>
            </w:r>
            <w:r w:rsidRPr="002775EB">
              <w:rPr>
                <w:rFonts w:eastAsiaTheme="minorEastAsia" w:cs="Times New Roman"/>
                <w:sz w:val="20"/>
                <w:szCs w:val="20"/>
                <w:vertAlign w:val="superscript"/>
                <w:lang w:val="en-US" w:eastAsia="ru-RU"/>
              </w:rPr>
              <w:t>***</w:t>
            </w:r>
          </w:p>
        </w:tc>
        <w:tc>
          <w:tcPr>
            <w:tcW w:w="658" w:type="pct"/>
          </w:tcPr>
          <w:p w14:paraId="72DB44F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0.624</w:t>
            </w:r>
            <w:r w:rsidRPr="002775EB">
              <w:rPr>
                <w:rFonts w:eastAsiaTheme="minorEastAsia" w:cs="Times New Roman"/>
                <w:sz w:val="20"/>
                <w:szCs w:val="20"/>
                <w:vertAlign w:val="superscript"/>
                <w:lang w:val="en-US" w:eastAsia="ru-RU"/>
              </w:rPr>
              <w:t>***</w:t>
            </w:r>
          </w:p>
        </w:tc>
        <w:tc>
          <w:tcPr>
            <w:tcW w:w="658" w:type="pct"/>
          </w:tcPr>
          <w:p w14:paraId="60F1528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0.592</w:t>
            </w:r>
            <w:r w:rsidRPr="002775EB">
              <w:rPr>
                <w:rFonts w:eastAsiaTheme="minorEastAsia" w:cs="Times New Roman"/>
                <w:sz w:val="20"/>
                <w:szCs w:val="20"/>
                <w:vertAlign w:val="superscript"/>
                <w:lang w:val="en-US" w:eastAsia="ru-RU"/>
              </w:rPr>
              <w:t>***</w:t>
            </w:r>
          </w:p>
        </w:tc>
      </w:tr>
      <w:tr w:rsidR="002775EB" w:rsidRPr="002775EB" w14:paraId="653E574A" w14:textId="77777777" w:rsidTr="00D17B7B">
        <w:tc>
          <w:tcPr>
            <w:tcW w:w="1052" w:type="pct"/>
          </w:tcPr>
          <w:p w14:paraId="7C94C475"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7241A8E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(0.105)</w:t>
            </w:r>
          </w:p>
        </w:tc>
        <w:tc>
          <w:tcPr>
            <w:tcW w:w="658" w:type="pct"/>
          </w:tcPr>
          <w:p w14:paraId="5BFA5FA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(0.105)</w:t>
            </w:r>
          </w:p>
        </w:tc>
        <w:tc>
          <w:tcPr>
            <w:tcW w:w="658" w:type="pct"/>
          </w:tcPr>
          <w:p w14:paraId="2F3404C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(0.111)</w:t>
            </w:r>
          </w:p>
        </w:tc>
        <w:tc>
          <w:tcPr>
            <w:tcW w:w="658" w:type="pct"/>
          </w:tcPr>
          <w:p w14:paraId="79A8E75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(0.111)</w:t>
            </w:r>
          </w:p>
        </w:tc>
        <w:tc>
          <w:tcPr>
            <w:tcW w:w="658" w:type="pct"/>
          </w:tcPr>
          <w:p w14:paraId="5FC0D22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(0.111)</w:t>
            </w:r>
          </w:p>
        </w:tc>
        <w:tc>
          <w:tcPr>
            <w:tcW w:w="658" w:type="pct"/>
          </w:tcPr>
          <w:p w14:paraId="034ABCE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(0.111)</w:t>
            </w:r>
          </w:p>
        </w:tc>
      </w:tr>
      <w:tr w:rsidR="002775EB" w:rsidRPr="002775EB" w14:paraId="3FE678C7" w14:textId="77777777" w:rsidTr="00D17B7B">
        <w:tc>
          <w:tcPr>
            <w:tcW w:w="1052" w:type="pct"/>
          </w:tcPr>
          <w:p w14:paraId="23A79C83"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Ability measure</w:t>
            </w:r>
          </w:p>
        </w:tc>
        <w:tc>
          <w:tcPr>
            <w:tcW w:w="658" w:type="pct"/>
          </w:tcPr>
          <w:p w14:paraId="702C03E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0.298</w:t>
            </w:r>
            <w:r w:rsidRPr="002775EB">
              <w:rPr>
                <w:rFonts w:eastAsiaTheme="minorEastAsia" w:cs="Times New Roman"/>
                <w:sz w:val="20"/>
                <w:szCs w:val="20"/>
                <w:vertAlign w:val="superscript"/>
                <w:lang w:val="en-US" w:eastAsia="ru-RU"/>
              </w:rPr>
              <w:t>***</w:t>
            </w:r>
          </w:p>
        </w:tc>
        <w:tc>
          <w:tcPr>
            <w:tcW w:w="658" w:type="pct"/>
          </w:tcPr>
          <w:p w14:paraId="639EF5E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0.219</w:t>
            </w:r>
            <w:r w:rsidRPr="002775EB">
              <w:rPr>
                <w:rFonts w:eastAsiaTheme="minorEastAsia" w:cs="Times New Roman"/>
                <w:sz w:val="20"/>
                <w:szCs w:val="20"/>
                <w:vertAlign w:val="superscript"/>
                <w:lang w:val="en-US" w:eastAsia="ru-RU"/>
              </w:rPr>
              <w:t>***</w:t>
            </w:r>
          </w:p>
        </w:tc>
        <w:tc>
          <w:tcPr>
            <w:tcW w:w="658" w:type="pct"/>
          </w:tcPr>
          <w:p w14:paraId="644DA81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0.467</w:t>
            </w:r>
            <w:r w:rsidRPr="002775EB">
              <w:rPr>
                <w:rFonts w:eastAsiaTheme="minorEastAsia" w:cs="Times New Roman"/>
                <w:sz w:val="20"/>
                <w:szCs w:val="20"/>
                <w:vertAlign w:val="superscript"/>
                <w:lang w:val="en-US" w:eastAsia="ru-RU"/>
              </w:rPr>
              <w:t>***</w:t>
            </w:r>
          </w:p>
        </w:tc>
        <w:tc>
          <w:tcPr>
            <w:tcW w:w="658" w:type="pct"/>
          </w:tcPr>
          <w:p w14:paraId="123570A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0.384</w:t>
            </w:r>
            <w:r w:rsidRPr="002775EB">
              <w:rPr>
                <w:rFonts w:eastAsiaTheme="minorEastAsia" w:cs="Times New Roman"/>
                <w:sz w:val="20"/>
                <w:szCs w:val="20"/>
                <w:vertAlign w:val="superscript"/>
                <w:lang w:val="en-US" w:eastAsia="ru-RU"/>
              </w:rPr>
              <w:t>***</w:t>
            </w:r>
          </w:p>
        </w:tc>
        <w:tc>
          <w:tcPr>
            <w:tcW w:w="658" w:type="pct"/>
          </w:tcPr>
          <w:p w14:paraId="272EFC9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0.334</w:t>
            </w:r>
            <w:r w:rsidRPr="002775EB">
              <w:rPr>
                <w:rFonts w:eastAsiaTheme="minorEastAsia" w:cs="Times New Roman"/>
                <w:sz w:val="20"/>
                <w:szCs w:val="20"/>
                <w:vertAlign w:val="superscript"/>
                <w:lang w:val="en-US" w:eastAsia="ru-RU"/>
              </w:rPr>
              <w:t>***</w:t>
            </w:r>
          </w:p>
        </w:tc>
        <w:tc>
          <w:tcPr>
            <w:tcW w:w="658" w:type="pct"/>
          </w:tcPr>
          <w:p w14:paraId="509D5C3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0.418</w:t>
            </w:r>
            <w:r w:rsidRPr="002775EB">
              <w:rPr>
                <w:rFonts w:eastAsiaTheme="minorEastAsia" w:cs="Times New Roman"/>
                <w:sz w:val="20"/>
                <w:szCs w:val="20"/>
                <w:vertAlign w:val="superscript"/>
                <w:lang w:val="en-US" w:eastAsia="ru-RU"/>
              </w:rPr>
              <w:t>***</w:t>
            </w:r>
          </w:p>
        </w:tc>
      </w:tr>
      <w:tr w:rsidR="002775EB" w:rsidRPr="002775EB" w14:paraId="0A90A409" w14:textId="77777777" w:rsidTr="00D17B7B">
        <w:tc>
          <w:tcPr>
            <w:tcW w:w="1052" w:type="pct"/>
          </w:tcPr>
          <w:p w14:paraId="07B42DE2"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Pr>
          <w:p w14:paraId="2650E46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(0.052)</w:t>
            </w:r>
          </w:p>
        </w:tc>
        <w:tc>
          <w:tcPr>
            <w:tcW w:w="658" w:type="pct"/>
          </w:tcPr>
          <w:p w14:paraId="08584C0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(0.051)</w:t>
            </w:r>
          </w:p>
        </w:tc>
        <w:tc>
          <w:tcPr>
            <w:tcW w:w="658" w:type="pct"/>
          </w:tcPr>
          <w:p w14:paraId="3E6A140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(0.058)</w:t>
            </w:r>
          </w:p>
        </w:tc>
        <w:tc>
          <w:tcPr>
            <w:tcW w:w="658" w:type="pct"/>
          </w:tcPr>
          <w:p w14:paraId="068FBFD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(0.059)</w:t>
            </w:r>
          </w:p>
        </w:tc>
        <w:tc>
          <w:tcPr>
            <w:tcW w:w="658" w:type="pct"/>
          </w:tcPr>
          <w:p w14:paraId="53C0614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(0.056)</w:t>
            </w:r>
          </w:p>
        </w:tc>
        <w:tc>
          <w:tcPr>
            <w:tcW w:w="658" w:type="pct"/>
          </w:tcPr>
          <w:p w14:paraId="166061B2"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(0.058)</w:t>
            </w:r>
          </w:p>
        </w:tc>
      </w:tr>
      <w:tr w:rsidR="002775EB" w:rsidRPr="002775EB" w14:paraId="567A8D77" w14:textId="77777777" w:rsidTr="00D17B7B">
        <w:tc>
          <w:tcPr>
            <w:tcW w:w="1052" w:type="pct"/>
          </w:tcPr>
          <w:p w14:paraId="69F1B3DA"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Constant</w:t>
            </w:r>
          </w:p>
        </w:tc>
        <w:tc>
          <w:tcPr>
            <w:tcW w:w="658" w:type="pct"/>
          </w:tcPr>
          <w:p w14:paraId="788D901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–0.300</w:t>
            </w:r>
            <w:r w:rsidRPr="002775EB">
              <w:rPr>
                <w:rFonts w:eastAsiaTheme="minorEastAsia" w:cs="Times New Roman"/>
                <w:sz w:val="20"/>
                <w:szCs w:val="20"/>
                <w:vertAlign w:val="superscript"/>
                <w:lang w:val="en-US" w:eastAsia="ru-RU"/>
              </w:rPr>
              <w:t>**</w:t>
            </w:r>
          </w:p>
        </w:tc>
        <w:tc>
          <w:tcPr>
            <w:tcW w:w="658" w:type="pct"/>
          </w:tcPr>
          <w:p w14:paraId="69DD3FF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–0.364</w:t>
            </w:r>
            <w:r w:rsidRPr="002775EB">
              <w:rPr>
                <w:rFonts w:eastAsiaTheme="minorEastAsia" w:cs="Times New Roman"/>
                <w:sz w:val="20"/>
                <w:szCs w:val="20"/>
                <w:vertAlign w:val="superscript"/>
                <w:lang w:val="en-US" w:eastAsia="ru-RU"/>
              </w:rPr>
              <w:t>***</w:t>
            </w:r>
          </w:p>
        </w:tc>
        <w:tc>
          <w:tcPr>
            <w:tcW w:w="658" w:type="pct"/>
          </w:tcPr>
          <w:p w14:paraId="67EB7B0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–0.265</w:t>
            </w:r>
            <w:r w:rsidRPr="002775EB">
              <w:rPr>
                <w:rFonts w:eastAsiaTheme="minorEastAsia" w:cs="Times New Roman"/>
                <w:sz w:val="20"/>
                <w:szCs w:val="20"/>
                <w:vertAlign w:val="superscript"/>
                <w:lang w:val="en-US" w:eastAsia="ru-RU"/>
              </w:rPr>
              <w:t>**</w:t>
            </w:r>
          </w:p>
        </w:tc>
        <w:tc>
          <w:tcPr>
            <w:tcW w:w="658" w:type="pct"/>
          </w:tcPr>
          <w:p w14:paraId="4FDBEABA"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–0.196</w:t>
            </w:r>
          </w:p>
        </w:tc>
        <w:tc>
          <w:tcPr>
            <w:tcW w:w="658" w:type="pct"/>
          </w:tcPr>
          <w:p w14:paraId="42C8AEF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–0.335</w:t>
            </w:r>
            <w:r w:rsidRPr="002775EB">
              <w:rPr>
                <w:rFonts w:eastAsiaTheme="minorEastAsia" w:cs="Times New Roman"/>
                <w:sz w:val="20"/>
                <w:szCs w:val="20"/>
                <w:vertAlign w:val="superscript"/>
                <w:lang w:val="en-US" w:eastAsia="ru-RU"/>
              </w:rPr>
              <w:t>***</w:t>
            </w:r>
          </w:p>
        </w:tc>
        <w:tc>
          <w:tcPr>
            <w:tcW w:w="658" w:type="pct"/>
          </w:tcPr>
          <w:p w14:paraId="27ED524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–0.237</w:t>
            </w:r>
            <w:r w:rsidRPr="002775EB">
              <w:rPr>
                <w:rFonts w:eastAsiaTheme="minorEastAsia" w:cs="Times New Roman"/>
                <w:sz w:val="20"/>
                <w:szCs w:val="20"/>
                <w:vertAlign w:val="superscript"/>
                <w:lang w:val="en-US" w:eastAsia="ru-RU"/>
              </w:rPr>
              <w:t>*</w:t>
            </w:r>
          </w:p>
        </w:tc>
      </w:tr>
      <w:tr w:rsidR="002775EB" w:rsidRPr="002775EB" w14:paraId="34E91CE2" w14:textId="77777777" w:rsidTr="00D17B7B">
        <w:tc>
          <w:tcPr>
            <w:tcW w:w="1052" w:type="pct"/>
            <w:tcBorders>
              <w:bottom w:val="single" w:sz="4" w:space="0" w:color="auto"/>
            </w:tcBorders>
          </w:tcPr>
          <w:p w14:paraId="3691EAFE"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658" w:type="pct"/>
            <w:tcBorders>
              <w:bottom w:val="single" w:sz="4" w:space="0" w:color="auto"/>
            </w:tcBorders>
          </w:tcPr>
          <w:p w14:paraId="16F0E72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(0.094)</w:t>
            </w:r>
          </w:p>
        </w:tc>
        <w:tc>
          <w:tcPr>
            <w:tcW w:w="658" w:type="pct"/>
            <w:tcBorders>
              <w:bottom w:val="single" w:sz="4" w:space="0" w:color="auto"/>
            </w:tcBorders>
          </w:tcPr>
          <w:p w14:paraId="32E12EB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(0.093)</w:t>
            </w:r>
          </w:p>
        </w:tc>
        <w:tc>
          <w:tcPr>
            <w:tcW w:w="658" w:type="pct"/>
            <w:tcBorders>
              <w:bottom w:val="single" w:sz="4" w:space="0" w:color="auto"/>
            </w:tcBorders>
          </w:tcPr>
          <w:p w14:paraId="03CB0BD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(0.101)</w:t>
            </w:r>
          </w:p>
        </w:tc>
        <w:tc>
          <w:tcPr>
            <w:tcW w:w="658" w:type="pct"/>
            <w:tcBorders>
              <w:bottom w:val="single" w:sz="4" w:space="0" w:color="auto"/>
            </w:tcBorders>
          </w:tcPr>
          <w:p w14:paraId="1F92D2C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(0.107)</w:t>
            </w:r>
          </w:p>
        </w:tc>
        <w:tc>
          <w:tcPr>
            <w:tcW w:w="658" w:type="pct"/>
            <w:tcBorders>
              <w:bottom w:val="single" w:sz="4" w:space="0" w:color="auto"/>
            </w:tcBorders>
          </w:tcPr>
          <w:p w14:paraId="5EAD370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(0.100)</w:t>
            </w:r>
          </w:p>
        </w:tc>
        <w:tc>
          <w:tcPr>
            <w:tcW w:w="658" w:type="pct"/>
            <w:tcBorders>
              <w:bottom w:val="single" w:sz="4" w:space="0" w:color="auto"/>
            </w:tcBorders>
          </w:tcPr>
          <w:p w14:paraId="36249807"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(0.103)</w:t>
            </w:r>
          </w:p>
        </w:tc>
      </w:tr>
      <w:tr w:rsidR="002775EB" w:rsidRPr="002775EB" w14:paraId="3C20B660" w14:textId="77777777" w:rsidTr="00D17B7B">
        <w:tc>
          <w:tcPr>
            <w:tcW w:w="1052" w:type="pct"/>
            <w:tcBorders>
              <w:top w:val="single" w:sz="4" w:space="0" w:color="auto"/>
            </w:tcBorders>
          </w:tcPr>
          <w:p w14:paraId="6E05E9DC"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LR χ</w:t>
            </w:r>
            <w:r w:rsidRPr="002775EB">
              <w:rPr>
                <w:rFonts w:eastAsiaTheme="minorEastAsia" w:cs="Times New Roman"/>
                <w:sz w:val="20"/>
                <w:szCs w:val="20"/>
                <w:vertAlign w:val="superscript"/>
                <w:lang w:val="en-US" w:eastAsia="ru-RU"/>
              </w:rPr>
              <w:t>2</w:t>
            </w:r>
          </w:p>
        </w:tc>
        <w:tc>
          <w:tcPr>
            <w:tcW w:w="658" w:type="pct"/>
            <w:tcBorders>
              <w:top w:val="single" w:sz="4" w:space="0" w:color="auto"/>
            </w:tcBorders>
          </w:tcPr>
          <w:p w14:paraId="73E97C0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1372.4</w:t>
            </w:r>
            <w:r w:rsidRPr="002775EB">
              <w:rPr>
                <w:rFonts w:eastAsiaTheme="minorEastAsia" w:cs="Times New Roman"/>
                <w:sz w:val="20"/>
                <w:szCs w:val="20"/>
                <w:vertAlign w:val="superscript"/>
                <w:lang w:val="en-US" w:eastAsia="ru-RU"/>
              </w:rPr>
              <w:t>***</w:t>
            </w:r>
          </w:p>
        </w:tc>
        <w:tc>
          <w:tcPr>
            <w:tcW w:w="658" w:type="pct"/>
            <w:tcBorders>
              <w:top w:val="single" w:sz="4" w:space="0" w:color="auto"/>
            </w:tcBorders>
          </w:tcPr>
          <w:p w14:paraId="5F471F88"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1282.3</w:t>
            </w:r>
            <w:r w:rsidRPr="002775EB">
              <w:rPr>
                <w:rFonts w:eastAsiaTheme="minorEastAsia" w:cs="Times New Roman"/>
                <w:sz w:val="20"/>
                <w:szCs w:val="20"/>
                <w:vertAlign w:val="superscript"/>
                <w:lang w:val="en-US" w:eastAsia="ru-RU"/>
              </w:rPr>
              <w:t>***</w:t>
            </w:r>
          </w:p>
        </w:tc>
        <w:tc>
          <w:tcPr>
            <w:tcW w:w="658" w:type="pct"/>
            <w:tcBorders>
              <w:top w:val="single" w:sz="4" w:space="0" w:color="auto"/>
            </w:tcBorders>
          </w:tcPr>
          <w:p w14:paraId="4691974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1348.7</w:t>
            </w:r>
            <w:r w:rsidRPr="002775EB">
              <w:rPr>
                <w:rFonts w:eastAsiaTheme="minorEastAsia" w:cs="Times New Roman"/>
                <w:sz w:val="20"/>
                <w:szCs w:val="20"/>
                <w:vertAlign w:val="superscript"/>
                <w:lang w:val="en-US" w:eastAsia="ru-RU"/>
              </w:rPr>
              <w:t>***</w:t>
            </w:r>
          </w:p>
        </w:tc>
        <w:tc>
          <w:tcPr>
            <w:tcW w:w="658" w:type="pct"/>
            <w:tcBorders>
              <w:top w:val="single" w:sz="4" w:space="0" w:color="auto"/>
            </w:tcBorders>
          </w:tcPr>
          <w:p w14:paraId="5A651D5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1334.2</w:t>
            </w:r>
            <w:r w:rsidRPr="002775EB">
              <w:rPr>
                <w:rFonts w:eastAsiaTheme="minorEastAsia" w:cs="Times New Roman"/>
                <w:sz w:val="20"/>
                <w:szCs w:val="20"/>
                <w:vertAlign w:val="superscript"/>
                <w:lang w:val="en-US" w:eastAsia="ru-RU"/>
              </w:rPr>
              <w:t>***</w:t>
            </w:r>
          </w:p>
        </w:tc>
        <w:tc>
          <w:tcPr>
            <w:tcW w:w="658" w:type="pct"/>
            <w:tcBorders>
              <w:top w:val="single" w:sz="4" w:space="0" w:color="auto"/>
            </w:tcBorders>
          </w:tcPr>
          <w:p w14:paraId="742456D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1245.2</w:t>
            </w:r>
            <w:r w:rsidRPr="002775EB">
              <w:rPr>
                <w:rFonts w:eastAsiaTheme="minorEastAsia" w:cs="Times New Roman"/>
                <w:sz w:val="20"/>
                <w:szCs w:val="20"/>
                <w:vertAlign w:val="superscript"/>
                <w:lang w:val="en-US" w:eastAsia="ru-RU"/>
              </w:rPr>
              <w:t>***</w:t>
            </w:r>
          </w:p>
        </w:tc>
        <w:tc>
          <w:tcPr>
            <w:tcW w:w="658" w:type="pct"/>
            <w:tcBorders>
              <w:top w:val="single" w:sz="4" w:space="0" w:color="auto"/>
            </w:tcBorders>
          </w:tcPr>
          <w:p w14:paraId="31238E8E"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1435.7</w:t>
            </w:r>
            <w:r w:rsidRPr="002775EB">
              <w:rPr>
                <w:rFonts w:eastAsiaTheme="minorEastAsia" w:cs="Times New Roman"/>
                <w:sz w:val="20"/>
                <w:szCs w:val="20"/>
                <w:vertAlign w:val="superscript"/>
                <w:lang w:val="en-US" w:eastAsia="ru-RU"/>
              </w:rPr>
              <w:t>***</w:t>
            </w:r>
          </w:p>
        </w:tc>
      </w:tr>
      <w:tr w:rsidR="002775EB" w:rsidRPr="002775EB" w14:paraId="7C3566AC" w14:textId="77777777" w:rsidTr="00D17B7B">
        <w:tc>
          <w:tcPr>
            <w:tcW w:w="1052" w:type="pct"/>
          </w:tcPr>
          <w:p w14:paraId="4E016414"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Pseudo-R</w:t>
            </w:r>
            <w:r w:rsidRPr="002775EB">
              <w:rPr>
                <w:rFonts w:eastAsiaTheme="minorEastAsia" w:cs="Times New Roman"/>
                <w:sz w:val="20"/>
                <w:szCs w:val="20"/>
                <w:vertAlign w:val="superscript"/>
                <w:lang w:val="en-US" w:eastAsia="ru-RU"/>
              </w:rPr>
              <w:t>2</w:t>
            </w:r>
          </w:p>
        </w:tc>
        <w:tc>
          <w:tcPr>
            <w:tcW w:w="658" w:type="pct"/>
          </w:tcPr>
          <w:p w14:paraId="26693FFD"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0.103</w:t>
            </w:r>
          </w:p>
        </w:tc>
        <w:tc>
          <w:tcPr>
            <w:tcW w:w="658" w:type="pct"/>
          </w:tcPr>
          <w:p w14:paraId="2EC895E4"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0.096</w:t>
            </w:r>
          </w:p>
        </w:tc>
        <w:tc>
          <w:tcPr>
            <w:tcW w:w="658" w:type="pct"/>
          </w:tcPr>
          <w:p w14:paraId="602B228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0.111</w:t>
            </w:r>
          </w:p>
        </w:tc>
        <w:tc>
          <w:tcPr>
            <w:tcW w:w="658" w:type="pct"/>
          </w:tcPr>
          <w:p w14:paraId="71D82839"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0.110</w:t>
            </w:r>
          </w:p>
        </w:tc>
        <w:tc>
          <w:tcPr>
            <w:tcW w:w="658" w:type="pct"/>
          </w:tcPr>
          <w:p w14:paraId="0C8BFFBB"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0.103</w:t>
            </w:r>
          </w:p>
        </w:tc>
        <w:tc>
          <w:tcPr>
            <w:tcW w:w="658" w:type="pct"/>
          </w:tcPr>
          <w:p w14:paraId="71DE677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0.118</w:t>
            </w:r>
          </w:p>
        </w:tc>
      </w:tr>
      <w:tr w:rsidR="002775EB" w:rsidRPr="002775EB" w14:paraId="304612AA" w14:textId="77777777" w:rsidTr="00D17B7B">
        <w:tc>
          <w:tcPr>
            <w:tcW w:w="1052" w:type="pct"/>
          </w:tcPr>
          <w:p w14:paraId="27B0D823"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proofErr w:type="spellStart"/>
            <w:r w:rsidRPr="002775EB">
              <w:rPr>
                <w:rFonts w:eastAsiaTheme="minorEastAsia" w:cs="Times New Roman"/>
                <w:i/>
                <w:iCs/>
                <w:sz w:val="20"/>
                <w:szCs w:val="20"/>
                <w:lang w:val="en-US" w:eastAsia="ru-RU"/>
              </w:rPr>
              <w:t>df</w:t>
            </w:r>
            <w:proofErr w:type="spellEnd"/>
          </w:p>
        </w:tc>
        <w:tc>
          <w:tcPr>
            <w:tcW w:w="658" w:type="pct"/>
          </w:tcPr>
          <w:p w14:paraId="46606FB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20</w:t>
            </w:r>
          </w:p>
        </w:tc>
        <w:tc>
          <w:tcPr>
            <w:tcW w:w="658" w:type="pct"/>
          </w:tcPr>
          <w:p w14:paraId="7CAB61E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20</w:t>
            </w:r>
          </w:p>
        </w:tc>
        <w:tc>
          <w:tcPr>
            <w:tcW w:w="658" w:type="pct"/>
          </w:tcPr>
          <w:p w14:paraId="55D7B64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20</w:t>
            </w:r>
          </w:p>
        </w:tc>
        <w:tc>
          <w:tcPr>
            <w:tcW w:w="658" w:type="pct"/>
          </w:tcPr>
          <w:p w14:paraId="4F77C5A3"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20</w:t>
            </w:r>
          </w:p>
        </w:tc>
        <w:tc>
          <w:tcPr>
            <w:tcW w:w="658" w:type="pct"/>
          </w:tcPr>
          <w:p w14:paraId="40E5D8E1"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20</w:t>
            </w:r>
          </w:p>
        </w:tc>
        <w:tc>
          <w:tcPr>
            <w:tcW w:w="658" w:type="pct"/>
          </w:tcPr>
          <w:p w14:paraId="4CBE015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20</w:t>
            </w:r>
          </w:p>
        </w:tc>
      </w:tr>
      <w:tr w:rsidR="002775EB" w:rsidRPr="002775EB" w14:paraId="0EC96F8A" w14:textId="77777777" w:rsidTr="00D17B7B">
        <w:trPr>
          <w:trHeight w:val="188"/>
        </w:trPr>
        <w:tc>
          <w:tcPr>
            <w:tcW w:w="1052" w:type="pct"/>
            <w:tcBorders>
              <w:bottom w:val="single" w:sz="4" w:space="0" w:color="auto"/>
            </w:tcBorders>
          </w:tcPr>
          <w:p w14:paraId="0B46D61C"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sz w:val="20"/>
                <w:szCs w:val="20"/>
                <w:lang w:val="en-US" w:eastAsia="ru-RU"/>
              </w:rPr>
              <w:t>N</w:t>
            </w:r>
          </w:p>
        </w:tc>
        <w:tc>
          <w:tcPr>
            <w:tcW w:w="658" w:type="pct"/>
            <w:tcBorders>
              <w:bottom w:val="single" w:sz="4" w:space="0" w:color="auto"/>
            </w:tcBorders>
          </w:tcPr>
          <w:p w14:paraId="3790953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4,711</w:t>
            </w:r>
          </w:p>
        </w:tc>
        <w:tc>
          <w:tcPr>
            <w:tcW w:w="658" w:type="pct"/>
            <w:tcBorders>
              <w:bottom w:val="single" w:sz="4" w:space="0" w:color="auto"/>
            </w:tcBorders>
          </w:tcPr>
          <w:p w14:paraId="40B821F0"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4,711</w:t>
            </w:r>
          </w:p>
        </w:tc>
        <w:tc>
          <w:tcPr>
            <w:tcW w:w="658" w:type="pct"/>
            <w:tcBorders>
              <w:bottom w:val="single" w:sz="4" w:space="0" w:color="auto"/>
            </w:tcBorders>
          </w:tcPr>
          <w:p w14:paraId="72FAC34F"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4,308</w:t>
            </w:r>
          </w:p>
        </w:tc>
        <w:tc>
          <w:tcPr>
            <w:tcW w:w="658" w:type="pct"/>
            <w:tcBorders>
              <w:bottom w:val="single" w:sz="4" w:space="0" w:color="auto"/>
            </w:tcBorders>
          </w:tcPr>
          <w:p w14:paraId="1923A6B6"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4,308</w:t>
            </w:r>
          </w:p>
        </w:tc>
        <w:tc>
          <w:tcPr>
            <w:tcW w:w="658" w:type="pct"/>
            <w:tcBorders>
              <w:bottom w:val="single" w:sz="4" w:space="0" w:color="auto"/>
            </w:tcBorders>
          </w:tcPr>
          <w:p w14:paraId="07BF5515"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4,308</w:t>
            </w:r>
          </w:p>
        </w:tc>
        <w:tc>
          <w:tcPr>
            <w:tcW w:w="658" w:type="pct"/>
            <w:tcBorders>
              <w:bottom w:val="single" w:sz="4" w:space="0" w:color="auto"/>
            </w:tcBorders>
          </w:tcPr>
          <w:p w14:paraId="522FCC9C" w14:textId="77777777" w:rsidR="002775EB" w:rsidRPr="002775EB" w:rsidRDefault="002775EB" w:rsidP="002775EB">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2775EB">
              <w:rPr>
                <w:rFonts w:eastAsiaTheme="minorEastAsia" w:cs="Times New Roman"/>
                <w:sz w:val="20"/>
                <w:szCs w:val="20"/>
                <w:lang w:val="en-US" w:eastAsia="ru-RU"/>
              </w:rPr>
              <w:t>4,308</w:t>
            </w:r>
          </w:p>
        </w:tc>
      </w:tr>
    </w:tbl>
    <w:p w14:paraId="60C8C611" w14:textId="77777777" w:rsidR="002775EB" w:rsidRPr="002775EB" w:rsidRDefault="002775EB" w:rsidP="002775EB">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2775EB">
        <w:rPr>
          <w:rFonts w:eastAsiaTheme="minorEastAsia" w:cs="Times New Roman"/>
          <w:i/>
          <w:iCs/>
          <w:sz w:val="20"/>
          <w:szCs w:val="20"/>
          <w:lang w:val="en-US" w:eastAsia="ru-RU"/>
        </w:rPr>
        <w:t xml:space="preserve">Notes: </w:t>
      </w:r>
      <w:r w:rsidRPr="002775EB">
        <w:rPr>
          <w:rFonts w:eastAsiaTheme="minorEastAsia" w:cs="Times New Roman"/>
          <w:sz w:val="20"/>
          <w:szCs w:val="20"/>
          <w:lang w:val="en-US" w:eastAsia="ru-RU"/>
        </w:rPr>
        <w:t xml:space="preserve">All models include controls for sex and TIMSS residence area (suppressed in tables). Main values are </w:t>
      </w:r>
      <w:proofErr w:type="spellStart"/>
      <w:r w:rsidRPr="002775EB">
        <w:rPr>
          <w:rFonts w:eastAsiaTheme="minorEastAsia" w:cs="Times New Roman"/>
          <w:sz w:val="20"/>
          <w:szCs w:val="20"/>
          <w:lang w:val="en-US" w:eastAsia="ru-RU"/>
        </w:rPr>
        <w:t>logit</w:t>
      </w:r>
      <w:proofErr w:type="spellEnd"/>
      <w:r w:rsidRPr="002775EB">
        <w:rPr>
          <w:rFonts w:eastAsiaTheme="minorEastAsia" w:cs="Times New Roman"/>
          <w:sz w:val="20"/>
          <w:szCs w:val="20"/>
          <w:lang w:val="en-US" w:eastAsia="ru-RU"/>
        </w:rPr>
        <w:t xml:space="preserve"> coefficients. Standard errors provided in parentheses. </w:t>
      </w:r>
      <w:r w:rsidRPr="002775EB">
        <w:rPr>
          <w:rFonts w:eastAsiaTheme="minorEastAsia" w:cs="Times New Roman"/>
          <w:i/>
          <w:sz w:val="20"/>
          <w:szCs w:val="20"/>
          <w:lang w:val="en-US" w:eastAsia="ru-RU"/>
        </w:rPr>
        <w:t xml:space="preserve">Source: </w:t>
      </w:r>
      <w:proofErr w:type="spellStart"/>
      <w:r w:rsidRPr="002775EB">
        <w:rPr>
          <w:rFonts w:eastAsiaTheme="minorEastAsia" w:cs="Times New Roman"/>
          <w:sz w:val="20"/>
          <w:szCs w:val="20"/>
          <w:lang w:val="en-US" w:eastAsia="ru-RU"/>
        </w:rPr>
        <w:t>TrEC</w:t>
      </w:r>
      <w:proofErr w:type="spellEnd"/>
      <w:r w:rsidRPr="002775EB">
        <w:rPr>
          <w:rFonts w:eastAsiaTheme="minorEastAsia" w:cs="Times New Roman"/>
          <w:sz w:val="20"/>
          <w:szCs w:val="20"/>
          <w:lang w:val="en-US" w:eastAsia="ru-RU"/>
        </w:rPr>
        <w:t xml:space="preserve">; own calculations. </w:t>
      </w:r>
      <w:r w:rsidRPr="002775EB">
        <w:rPr>
          <w:rFonts w:eastAsiaTheme="minorEastAsia" w:cs="Times New Roman"/>
          <w:sz w:val="20"/>
          <w:szCs w:val="20"/>
          <w:vertAlign w:val="superscript"/>
          <w:lang w:val="en-US" w:eastAsia="ru-RU"/>
        </w:rPr>
        <w:t>*</w:t>
      </w:r>
      <w:r w:rsidRPr="002775EB">
        <w:rPr>
          <w:rFonts w:eastAsiaTheme="minorEastAsia" w:cs="Times New Roman"/>
          <w:sz w:val="20"/>
          <w:szCs w:val="20"/>
          <w:lang w:val="en-US" w:eastAsia="ru-RU"/>
        </w:rPr>
        <w:t xml:space="preserve"> </w:t>
      </w:r>
      <w:proofErr w:type="gramStart"/>
      <w:r w:rsidRPr="002775EB">
        <w:rPr>
          <w:rFonts w:eastAsiaTheme="minorEastAsia" w:cs="Times New Roman"/>
          <w:i/>
          <w:iCs/>
          <w:sz w:val="20"/>
          <w:szCs w:val="20"/>
          <w:lang w:val="en-US" w:eastAsia="ru-RU"/>
        </w:rPr>
        <w:t>p</w:t>
      </w:r>
      <w:proofErr w:type="gramEnd"/>
      <w:r w:rsidRPr="002775EB">
        <w:rPr>
          <w:rFonts w:eastAsiaTheme="minorEastAsia" w:cs="Times New Roman"/>
          <w:sz w:val="20"/>
          <w:szCs w:val="20"/>
          <w:lang w:val="en-US" w:eastAsia="ru-RU"/>
        </w:rPr>
        <w:t xml:space="preserve"> &lt; 0.05, </w:t>
      </w:r>
      <w:r w:rsidRPr="002775EB">
        <w:rPr>
          <w:rFonts w:eastAsiaTheme="minorEastAsia" w:cs="Times New Roman"/>
          <w:sz w:val="20"/>
          <w:szCs w:val="20"/>
          <w:vertAlign w:val="superscript"/>
          <w:lang w:val="en-US" w:eastAsia="ru-RU"/>
        </w:rPr>
        <w:t>**</w:t>
      </w:r>
      <w:r w:rsidRPr="002775EB">
        <w:rPr>
          <w:rFonts w:eastAsiaTheme="minorEastAsia" w:cs="Times New Roman"/>
          <w:sz w:val="20"/>
          <w:szCs w:val="20"/>
          <w:lang w:val="en-US" w:eastAsia="ru-RU"/>
        </w:rPr>
        <w:t xml:space="preserve"> </w:t>
      </w:r>
      <w:r w:rsidRPr="002775EB">
        <w:rPr>
          <w:rFonts w:eastAsiaTheme="minorEastAsia" w:cs="Times New Roman"/>
          <w:i/>
          <w:iCs/>
          <w:sz w:val="20"/>
          <w:szCs w:val="20"/>
          <w:lang w:val="en-US" w:eastAsia="ru-RU"/>
        </w:rPr>
        <w:t>p</w:t>
      </w:r>
      <w:r w:rsidRPr="002775EB">
        <w:rPr>
          <w:rFonts w:eastAsiaTheme="minorEastAsia" w:cs="Times New Roman"/>
          <w:sz w:val="20"/>
          <w:szCs w:val="20"/>
          <w:lang w:val="en-US" w:eastAsia="ru-RU"/>
        </w:rPr>
        <w:t xml:space="preserve"> &lt; 0.01, </w:t>
      </w:r>
      <w:r w:rsidRPr="002775EB">
        <w:rPr>
          <w:rFonts w:eastAsiaTheme="minorEastAsia" w:cs="Times New Roman"/>
          <w:sz w:val="20"/>
          <w:szCs w:val="20"/>
          <w:vertAlign w:val="superscript"/>
          <w:lang w:val="en-US" w:eastAsia="ru-RU"/>
        </w:rPr>
        <w:t>***</w:t>
      </w:r>
      <w:r w:rsidRPr="002775EB">
        <w:rPr>
          <w:rFonts w:eastAsiaTheme="minorEastAsia" w:cs="Times New Roman"/>
          <w:sz w:val="20"/>
          <w:szCs w:val="20"/>
          <w:lang w:val="en-US" w:eastAsia="ru-RU"/>
        </w:rPr>
        <w:t xml:space="preserve"> </w:t>
      </w:r>
      <w:r w:rsidRPr="002775EB">
        <w:rPr>
          <w:rFonts w:eastAsiaTheme="minorEastAsia" w:cs="Times New Roman"/>
          <w:i/>
          <w:iCs/>
          <w:sz w:val="20"/>
          <w:szCs w:val="20"/>
          <w:lang w:val="en-US" w:eastAsia="ru-RU"/>
        </w:rPr>
        <w:t>p</w:t>
      </w:r>
      <w:r w:rsidRPr="002775EB">
        <w:rPr>
          <w:rFonts w:eastAsiaTheme="minorEastAsia" w:cs="Times New Roman"/>
          <w:sz w:val="20"/>
          <w:szCs w:val="20"/>
          <w:lang w:val="en-US" w:eastAsia="ru-RU"/>
        </w:rPr>
        <w:t xml:space="preserve"> &lt; 0.001</w:t>
      </w:r>
    </w:p>
    <w:p w14:paraId="3662942C" w14:textId="77777777" w:rsidR="002775EB" w:rsidRDefault="002775EB" w:rsidP="00C35151">
      <w:pPr>
        <w:ind w:firstLine="0"/>
        <w:rPr>
          <w:lang w:val="en-US"/>
        </w:rPr>
      </w:pPr>
    </w:p>
    <w:p w14:paraId="35EE49FC" w14:textId="77777777" w:rsidR="00483AFA" w:rsidRDefault="00483AFA">
      <w:pPr>
        <w:spacing w:after="200" w:line="276" w:lineRule="auto"/>
        <w:ind w:firstLine="0"/>
        <w:jc w:val="left"/>
        <w:rPr>
          <w:rFonts w:eastAsiaTheme="minorEastAsia" w:cs="Times New Roman"/>
          <w:b/>
          <w:szCs w:val="24"/>
          <w:lang w:val="en-US" w:eastAsia="ru-RU"/>
        </w:rPr>
      </w:pPr>
      <w:r>
        <w:rPr>
          <w:rFonts w:eastAsiaTheme="minorEastAsia" w:cs="Times New Roman"/>
          <w:b/>
          <w:szCs w:val="24"/>
          <w:lang w:val="en-US" w:eastAsia="ru-RU"/>
        </w:rPr>
        <w:br w:type="page"/>
      </w:r>
    </w:p>
    <w:p w14:paraId="12AD46A3" w14:textId="111D8E71" w:rsidR="00483AFA" w:rsidRPr="00483AFA" w:rsidRDefault="00483AFA" w:rsidP="00483AFA">
      <w:pPr>
        <w:keepNext/>
        <w:widowControl w:val="0"/>
        <w:autoSpaceDE w:val="0"/>
        <w:autoSpaceDN w:val="0"/>
        <w:adjustRightInd w:val="0"/>
        <w:spacing w:line="240" w:lineRule="auto"/>
        <w:ind w:firstLine="0"/>
        <w:jc w:val="left"/>
        <w:rPr>
          <w:rFonts w:eastAsiaTheme="minorEastAsia" w:cs="Times New Roman"/>
          <w:b/>
          <w:szCs w:val="24"/>
          <w:lang w:val="en-US" w:eastAsia="ru-RU"/>
        </w:rPr>
      </w:pPr>
      <w:r w:rsidRPr="00483AFA">
        <w:rPr>
          <w:rFonts w:eastAsiaTheme="minorEastAsia" w:cs="Times New Roman"/>
          <w:b/>
          <w:szCs w:val="24"/>
          <w:lang w:val="en-US" w:eastAsia="ru-RU"/>
        </w:rPr>
        <w:lastRenderedPageBreak/>
        <w:t>Table A.2. Linear probability models for enrolment in higher education through all pathways</w:t>
      </w:r>
    </w:p>
    <w:p w14:paraId="1C7B88A0" w14:textId="77777777" w:rsidR="00483AFA" w:rsidRPr="00483AFA" w:rsidRDefault="00483AFA" w:rsidP="00483AFA">
      <w:pPr>
        <w:keepNext/>
        <w:widowControl w:val="0"/>
        <w:autoSpaceDE w:val="0"/>
        <w:autoSpaceDN w:val="0"/>
        <w:adjustRightInd w:val="0"/>
        <w:spacing w:line="240" w:lineRule="auto"/>
        <w:ind w:firstLine="0"/>
        <w:jc w:val="left"/>
        <w:rPr>
          <w:rFonts w:eastAsiaTheme="minorEastAsia" w:cs="Times New Roman"/>
          <w:sz w:val="20"/>
          <w:szCs w:val="20"/>
          <w:lang w:val="en-US" w:eastAsia="ru-RU"/>
        </w:rPr>
      </w:pPr>
    </w:p>
    <w:tbl>
      <w:tblPr>
        <w:tblW w:w="5000" w:type="pct"/>
        <w:tblLayout w:type="fixed"/>
        <w:tblLook w:val="0000" w:firstRow="0" w:lastRow="0" w:firstColumn="0" w:lastColumn="0" w:noHBand="0" w:noVBand="0"/>
      </w:tblPr>
      <w:tblGrid>
        <w:gridCol w:w="1628"/>
        <w:gridCol w:w="1277"/>
        <w:gridCol w:w="1277"/>
        <w:gridCol w:w="1276"/>
        <w:gridCol w:w="1276"/>
        <w:gridCol w:w="1276"/>
        <w:gridCol w:w="1276"/>
      </w:tblGrid>
      <w:tr w:rsidR="00483AFA" w:rsidRPr="00483AFA" w14:paraId="73ECDB5B" w14:textId="77777777" w:rsidTr="00D17B7B">
        <w:tc>
          <w:tcPr>
            <w:tcW w:w="1998" w:type="dxa"/>
            <w:tcBorders>
              <w:top w:val="single" w:sz="4" w:space="0" w:color="auto"/>
              <w:left w:val="nil"/>
              <w:bottom w:val="nil"/>
              <w:right w:val="nil"/>
            </w:tcBorders>
          </w:tcPr>
          <w:p w14:paraId="4A351873"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1554" w:type="dxa"/>
            <w:tcBorders>
              <w:top w:val="single" w:sz="4" w:space="0" w:color="auto"/>
              <w:left w:val="nil"/>
              <w:bottom w:val="nil"/>
              <w:right w:val="nil"/>
            </w:tcBorders>
          </w:tcPr>
          <w:p w14:paraId="71F7C1B3"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(1)</w:t>
            </w:r>
          </w:p>
        </w:tc>
        <w:tc>
          <w:tcPr>
            <w:tcW w:w="1554" w:type="dxa"/>
            <w:tcBorders>
              <w:top w:val="single" w:sz="4" w:space="0" w:color="auto"/>
              <w:left w:val="nil"/>
              <w:bottom w:val="nil"/>
              <w:right w:val="nil"/>
            </w:tcBorders>
          </w:tcPr>
          <w:p w14:paraId="48CEECA2"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(2)</w:t>
            </w:r>
          </w:p>
        </w:tc>
        <w:tc>
          <w:tcPr>
            <w:tcW w:w="1554" w:type="dxa"/>
            <w:tcBorders>
              <w:top w:val="single" w:sz="4" w:space="0" w:color="auto"/>
              <w:left w:val="nil"/>
              <w:bottom w:val="nil"/>
              <w:right w:val="nil"/>
            </w:tcBorders>
          </w:tcPr>
          <w:p w14:paraId="4558DF63"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(3)</w:t>
            </w:r>
          </w:p>
        </w:tc>
        <w:tc>
          <w:tcPr>
            <w:tcW w:w="1554" w:type="dxa"/>
            <w:tcBorders>
              <w:top w:val="single" w:sz="4" w:space="0" w:color="auto"/>
              <w:left w:val="nil"/>
              <w:bottom w:val="nil"/>
              <w:right w:val="nil"/>
            </w:tcBorders>
          </w:tcPr>
          <w:p w14:paraId="7D7EBF50"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(4)</w:t>
            </w:r>
          </w:p>
        </w:tc>
        <w:tc>
          <w:tcPr>
            <w:tcW w:w="1554" w:type="dxa"/>
            <w:tcBorders>
              <w:top w:val="single" w:sz="4" w:space="0" w:color="auto"/>
              <w:left w:val="nil"/>
              <w:bottom w:val="nil"/>
              <w:right w:val="nil"/>
            </w:tcBorders>
          </w:tcPr>
          <w:p w14:paraId="027E64EA"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(5)</w:t>
            </w:r>
          </w:p>
        </w:tc>
        <w:tc>
          <w:tcPr>
            <w:tcW w:w="1554" w:type="dxa"/>
            <w:tcBorders>
              <w:top w:val="single" w:sz="4" w:space="0" w:color="auto"/>
              <w:left w:val="nil"/>
              <w:bottom w:val="nil"/>
              <w:right w:val="nil"/>
            </w:tcBorders>
          </w:tcPr>
          <w:p w14:paraId="45F21A6F"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(6)</w:t>
            </w:r>
          </w:p>
        </w:tc>
      </w:tr>
      <w:tr w:rsidR="00483AFA" w:rsidRPr="00483AFA" w14:paraId="459D5D2E" w14:textId="77777777" w:rsidTr="00D17B7B">
        <w:tc>
          <w:tcPr>
            <w:tcW w:w="2616" w:type="dxa"/>
            <w:tcBorders>
              <w:top w:val="nil"/>
              <w:left w:val="nil"/>
              <w:bottom w:val="nil"/>
              <w:right w:val="nil"/>
            </w:tcBorders>
          </w:tcPr>
          <w:p w14:paraId="60A82A64"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2E6F3398"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 xml:space="preserve">TIMSS math score </w:t>
            </w:r>
          </w:p>
        </w:tc>
        <w:tc>
          <w:tcPr>
            <w:tcW w:w="2016" w:type="dxa"/>
            <w:tcBorders>
              <w:top w:val="nil"/>
              <w:left w:val="nil"/>
              <w:bottom w:val="nil"/>
              <w:right w:val="nil"/>
            </w:tcBorders>
          </w:tcPr>
          <w:p w14:paraId="7B1B0BF5"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 xml:space="preserve">TIMSS science score </w:t>
            </w:r>
          </w:p>
        </w:tc>
        <w:tc>
          <w:tcPr>
            <w:tcW w:w="2016" w:type="dxa"/>
            <w:tcBorders>
              <w:top w:val="nil"/>
              <w:left w:val="nil"/>
              <w:bottom w:val="nil"/>
              <w:right w:val="nil"/>
            </w:tcBorders>
          </w:tcPr>
          <w:p w14:paraId="57A6A99E"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 xml:space="preserve">PISA math score </w:t>
            </w:r>
          </w:p>
        </w:tc>
        <w:tc>
          <w:tcPr>
            <w:tcW w:w="2016" w:type="dxa"/>
            <w:tcBorders>
              <w:top w:val="nil"/>
              <w:left w:val="nil"/>
              <w:bottom w:val="nil"/>
              <w:right w:val="nil"/>
            </w:tcBorders>
          </w:tcPr>
          <w:p w14:paraId="2FC5F6BB"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 xml:space="preserve">PISA reading score </w:t>
            </w:r>
          </w:p>
        </w:tc>
        <w:tc>
          <w:tcPr>
            <w:tcW w:w="2016" w:type="dxa"/>
            <w:tcBorders>
              <w:top w:val="nil"/>
              <w:left w:val="nil"/>
              <w:bottom w:val="nil"/>
              <w:right w:val="nil"/>
            </w:tcBorders>
          </w:tcPr>
          <w:p w14:paraId="58971FBA"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 xml:space="preserve">PISA science score </w:t>
            </w:r>
          </w:p>
        </w:tc>
        <w:tc>
          <w:tcPr>
            <w:tcW w:w="2016" w:type="dxa"/>
            <w:tcBorders>
              <w:top w:val="nil"/>
              <w:left w:val="nil"/>
              <w:bottom w:val="nil"/>
              <w:right w:val="nil"/>
            </w:tcBorders>
          </w:tcPr>
          <w:p w14:paraId="38A8FA76"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 xml:space="preserve">Composite ability measure </w:t>
            </w:r>
          </w:p>
        </w:tc>
      </w:tr>
      <w:tr w:rsidR="00483AFA" w:rsidRPr="00483AFA" w14:paraId="12702796" w14:textId="77777777" w:rsidTr="00D17B7B">
        <w:tc>
          <w:tcPr>
            <w:tcW w:w="2616" w:type="dxa"/>
            <w:tcBorders>
              <w:top w:val="single" w:sz="4" w:space="0" w:color="auto"/>
              <w:left w:val="nil"/>
              <w:bottom w:val="nil"/>
              <w:right w:val="nil"/>
            </w:tcBorders>
          </w:tcPr>
          <w:p w14:paraId="410C7F29"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sz w:val="20"/>
                <w:szCs w:val="20"/>
                <w:lang w:val="en-US" w:eastAsia="ru-RU"/>
              </w:rPr>
              <w:t>Higher social background</w:t>
            </w:r>
          </w:p>
        </w:tc>
        <w:tc>
          <w:tcPr>
            <w:tcW w:w="2016" w:type="dxa"/>
            <w:tcBorders>
              <w:top w:val="single" w:sz="4" w:space="0" w:color="auto"/>
              <w:left w:val="nil"/>
              <w:bottom w:val="nil"/>
              <w:right w:val="nil"/>
            </w:tcBorders>
          </w:tcPr>
          <w:p w14:paraId="17770C62"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0.225</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4D22BFD3"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0.233</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4925F2A5"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0.196</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4FDA7A7C"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0.197</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0B99B906"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0.204</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235BC3B8"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0.183</w:t>
            </w:r>
            <w:r w:rsidRPr="00483AFA">
              <w:rPr>
                <w:rFonts w:eastAsiaTheme="minorEastAsia" w:cs="Times New Roman"/>
                <w:sz w:val="20"/>
                <w:szCs w:val="20"/>
                <w:vertAlign w:val="superscript"/>
                <w:lang w:val="en-US" w:eastAsia="ru-RU"/>
              </w:rPr>
              <w:t>***</w:t>
            </w:r>
          </w:p>
        </w:tc>
      </w:tr>
      <w:tr w:rsidR="00483AFA" w:rsidRPr="00483AFA" w14:paraId="48835F4D" w14:textId="77777777" w:rsidTr="00D17B7B">
        <w:tc>
          <w:tcPr>
            <w:tcW w:w="2616" w:type="dxa"/>
            <w:tcBorders>
              <w:top w:val="nil"/>
              <w:left w:val="nil"/>
              <w:bottom w:val="nil"/>
              <w:right w:val="nil"/>
            </w:tcBorders>
          </w:tcPr>
          <w:p w14:paraId="73AB72BE"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135DC748"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0FB2C9FC"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58FB7E32"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4325201A"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024D5A6B"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6C926D98"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r>
      <w:tr w:rsidR="00483AFA" w:rsidRPr="00483AFA" w14:paraId="46DCC3EC" w14:textId="77777777" w:rsidTr="00D17B7B">
        <w:tc>
          <w:tcPr>
            <w:tcW w:w="2616" w:type="dxa"/>
            <w:tcBorders>
              <w:top w:val="nil"/>
              <w:left w:val="nil"/>
              <w:bottom w:val="nil"/>
              <w:right w:val="nil"/>
            </w:tcBorders>
          </w:tcPr>
          <w:p w14:paraId="72EBD9C5"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sz w:val="20"/>
                <w:szCs w:val="20"/>
                <w:lang w:val="en-US" w:eastAsia="ru-RU"/>
              </w:rPr>
              <w:t>Ability measure</w:t>
            </w:r>
          </w:p>
        </w:tc>
        <w:tc>
          <w:tcPr>
            <w:tcW w:w="2016" w:type="dxa"/>
            <w:tcBorders>
              <w:top w:val="nil"/>
              <w:left w:val="nil"/>
              <w:bottom w:val="nil"/>
              <w:right w:val="nil"/>
            </w:tcBorders>
          </w:tcPr>
          <w:p w14:paraId="5D0E61BC"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0.160</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0BC85D37"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0.140</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20ACBA62"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0.202</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1D770C4F"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0.222</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7B1FE9D8"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0.188</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125AF7B0"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0.211</w:t>
            </w:r>
            <w:r w:rsidRPr="00483AFA">
              <w:rPr>
                <w:rFonts w:eastAsiaTheme="minorEastAsia" w:cs="Times New Roman"/>
                <w:sz w:val="20"/>
                <w:szCs w:val="20"/>
                <w:vertAlign w:val="superscript"/>
                <w:lang w:val="en-US" w:eastAsia="ru-RU"/>
              </w:rPr>
              <w:t>***</w:t>
            </w:r>
          </w:p>
        </w:tc>
      </w:tr>
      <w:tr w:rsidR="00483AFA" w:rsidRPr="00483AFA" w14:paraId="131E5965" w14:textId="77777777" w:rsidTr="00D17B7B">
        <w:tc>
          <w:tcPr>
            <w:tcW w:w="2616" w:type="dxa"/>
            <w:tcBorders>
              <w:top w:val="nil"/>
              <w:left w:val="nil"/>
              <w:bottom w:val="nil"/>
              <w:right w:val="nil"/>
            </w:tcBorders>
          </w:tcPr>
          <w:p w14:paraId="1E551C4A"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422AF768"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(0.010)</w:t>
            </w:r>
          </w:p>
        </w:tc>
        <w:tc>
          <w:tcPr>
            <w:tcW w:w="2016" w:type="dxa"/>
            <w:tcBorders>
              <w:top w:val="nil"/>
              <w:left w:val="nil"/>
              <w:bottom w:val="nil"/>
              <w:right w:val="nil"/>
            </w:tcBorders>
          </w:tcPr>
          <w:p w14:paraId="05623749"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(0.010)</w:t>
            </w:r>
          </w:p>
        </w:tc>
        <w:tc>
          <w:tcPr>
            <w:tcW w:w="2016" w:type="dxa"/>
            <w:tcBorders>
              <w:top w:val="nil"/>
              <w:left w:val="nil"/>
              <w:bottom w:val="nil"/>
              <w:right w:val="nil"/>
            </w:tcBorders>
          </w:tcPr>
          <w:p w14:paraId="23EFB194"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(0.011)</w:t>
            </w:r>
          </w:p>
        </w:tc>
        <w:tc>
          <w:tcPr>
            <w:tcW w:w="2016" w:type="dxa"/>
            <w:tcBorders>
              <w:top w:val="nil"/>
              <w:left w:val="nil"/>
              <w:bottom w:val="nil"/>
              <w:right w:val="nil"/>
            </w:tcBorders>
          </w:tcPr>
          <w:p w14:paraId="3D7C4E3C"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(0.011)</w:t>
            </w:r>
          </w:p>
        </w:tc>
        <w:tc>
          <w:tcPr>
            <w:tcW w:w="2016" w:type="dxa"/>
            <w:tcBorders>
              <w:top w:val="nil"/>
              <w:left w:val="nil"/>
              <w:bottom w:val="nil"/>
              <w:right w:val="nil"/>
            </w:tcBorders>
          </w:tcPr>
          <w:p w14:paraId="64D23AF9"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(0.011)</w:t>
            </w:r>
          </w:p>
        </w:tc>
        <w:tc>
          <w:tcPr>
            <w:tcW w:w="2016" w:type="dxa"/>
            <w:tcBorders>
              <w:top w:val="nil"/>
              <w:left w:val="nil"/>
              <w:bottom w:val="nil"/>
              <w:right w:val="nil"/>
            </w:tcBorders>
          </w:tcPr>
          <w:p w14:paraId="702D40DD"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(0.011)</w:t>
            </w:r>
          </w:p>
        </w:tc>
      </w:tr>
      <w:tr w:rsidR="00483AFA" w:rsidRPr="00483AFA" w14:paraId="50FBB59A" w14:textId="77777777" w:rsidTr="00D17B7B">
        <w:tc>
          <w:tcPr>
            <w:tcW w:w="2616" w:type="dxa"/>
            <w:tcBorders>
              <w:top w:val="nil"/>
              <w:left w:val="nil"/>
              <w:bottom w:val="nil"/>
              <w:right w:val="nil"/>
            </w:tcBorders>
          </w:tcPr>
          <w:p w14:paraId="0E583BF4"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sz w:val="20"/>
                <w:szCs w:val="20"/>
                <w:lang w:val="en-US" w:eastAsia="ru-RU"/>
              </w:rPr>
              <w:t>Higher social background x Ability measure</w:t>
            </w:r>
          </w:p>
        </w:tc>
        <w:tc>
          <w:tcPr>
            <w:tcW w:w="2016" w:type="dxa"/>
            <w:tcBorders>
              <w:top w:val="nil"/>
              <w:left w:val="nil"/>
              <w:bottom w:val="nil"/>
              <w:right w:val="nil"/>
            </w:tcBorders>
          </w:tcPr>
          <w:p w14:paraId="6A00C552"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–0.012</w:t>
            </w:r>
          </w:p>
        </w:tc>
        <w:tc>
          <w:tcPr>
            <w:tcW w:w="2016" w:type="dxa"/>
            <w:tcBorders>
              <w:top w:val="nil"/>
              <w:left w:val="nil"/>
              <w:bottom w:val="nil"/>
              <w:right w:val="nil"/>
            </w:tcBorders>
          </w:tcPr>
          <w:p w14:paraId="3A9ED825"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0.001</w:t>
            </w:r>
          </w:p>
        </w:tc>
        <w:tc>
          <w:tcPr>
            <w:tcW w:w="2016" w:type="dxa"/>
            <w:tcBorders>
              <w:top w:val="nil"/>
              <w:left w:val="nil"/>
              <w:bottom w:val="nil"/>
              <w:right w:val="nil"/>
            </w:tcBorders>
          </w:tcPr>
          <w:p w14:paraId="7AD6D8DB"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–0.062</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1F4A4C76"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–0.074</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00640AEF"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–0.051</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190431EB"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–0.056</w:t>
            </w:r>
            <w:r w:rsidRPr="00483AFA">
              <w:rPr>
                <w:rFonts w:eastAsiaTheme="minorEastAsia" w:cs="Times New Roman"/>
                <w:sz w:val="20"/>
                <w:szCs w:val="20"/>
                <w:vertAlign w:val="superscript"/>
                <w:lang w:val="en-US" w:eastAsia="ru-RU"/>
              </w:rPr>
              <w:t>***</w:t>
            </w:r>
          </w:p>
        </w:tc>
      </w:tr>
      <w:tr w:rsidR="00483AFA" w:rsidRPr="00483AFA" w14:paraId="7C0FEDE5" w14:textId="77777777" w:rsidTr="00D17B7B">
        <w:tc>
          <w:tcPr>
            <w:tcW w:w="2616" w:type="dxa"/>
            <w:tcBorders>
              <w:top w:val="nil"/>
              <w:left w:val="nil"/>
              <w:bottom w:val="nil"/>
              <w:right w:val="nil"/>
            </w:tcBorders>
          </w:tcPr>
          <w:p w14:paraId="6372A3C0"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4000E1C1"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7CE17D41"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718F2623"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1BB712C4"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59579B07"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nil"/>
              <w:right w:val="nil"/>
            </w:tcBorders>
          </w:tcPr>
          <w:p w14:paraId="10E353BB"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r>
      <w:tr w:rsidR="00483AFA" w:rsidRPr="00483AFA" w14:paraId="3634F204" w14:textId="77777777" w:rsidTr="00D17B7B">
        <w:tc>
          <w:tcPr>
            <w:tcW w:w="2616" w:type="dxa"/>
            <w:tcBorders>
              <w:top w:val="nil"/>
              <w:left w:val="nil"/>
              <w:bottom w:val="nil"/>
              <w:right w:val="nil"/>
            </w:tcBorders>
          </w:tcPr>
          <w:p w14:paraId="0A26568B"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sz w:val="20"/>
                <w:szCs w:val="20"/>
                <w:lang w:val="en-US" w:eastAsia="ru-RU"/>
              </w:rPr>
              <w:t>Constant</w:t>
            </w:r>
          </w:p>
        </w:tc>
        <w:tc>
          <w:tcPr>
            <w:tcW w:w="2016" w:type="dxa"/>
            <w:tcBorders>
              <w:top w:val="nil"/>
              <w:left w:val="nil"/>
              <w:bottom w:val="nil"/>
              <w:right w:val="nil"/>
            </w:tcBorders>
          </w:tcPr>
          <w:p w14:paraId="7BD2B8A2"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0.392</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5E020A26"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0.379</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0F4C31D8"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0.407</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7920DD5E"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0.469</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7CD95E4C"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0.405</w:t>
            </w:r>
            <w:r w:rsidRPr="00483AFA">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3A039341"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0.433</w:t>
            </w:r>
            <w:r w:rsidRPr="00483AFA">
              <w:rPr>
                <w:rFonts w:eastAsiaTheme="minorEastAsia" w:cs="Times New Roman"/>
                <w:sz w:val="20"/>
                <w:szCs w:val="20"/>
                <w:vertAlign w:val="superscript"/>
                <w:lang w:val="en-US" w:eastAsia="ru-RU"/>
              </w:rPr>
              <w:t>***</w:t>
            </w:r>
          </w:p>
        </w:tc>
      </w:tr>
      <w:tr w:rsidR="00483AFA" w:rsidRPr="00483AFA" w14:paraId="722A88CE" w14:textId="77777777" w:rsidTr="00D17B7B">
        <w:tc>
          <w:tcPr>
            <w:tcW w:w="2616" w:type="dxa"/>
            <w:tcBorders>
              <w:top w:val="nil"/>
              <w:left w:val="nil"/>
              <w:bottom w:val="single" w:sz="4" w:space="0" w:color="auto"/>
              <w:right w:val="nil"/>
            </w:tcBorders>
          </w:tcPr>
          <w:p w14:paraId="28354F48"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single" w:sz="4" w:space="0" w:color="auto"/>
              <w:right w:val="nil"/>
            </w:tcBorders>
          </w:tcPr>
          <w:p w14:paraId="202F501B"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5220D235"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502D1026"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6BD153EC"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(0.016)</w:t>
            </w:r>
          </w:p>
        </w:tc>
        <w:tc>
          <w:tcPr>
            <w:tcW w:w="2016" w:type="dxa"/>
            <w:tcBorders>
              <w:top w:val="nil"/>
              <w:left w:val="nil"/>
              <w:bottom w:val="single" w:sz="4" w:space="0" w:color="auto"/>
              <w:right w:val="nil"/>
            </w:tcBorders>
          </w:tcPr>
          <w:p w14:paraId="588D87EF"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48A4B7C3"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(0.015)</w:t>
            </w:r>
          </w:p>
        </w:tc>
      </w:tr>
      <w:tr w:rsidR="00483AFA" w:rsidRPr="00483AFA" w14:paraId="41551626" w14:textId="77777777" w:rsidTr="00D17B7B">
        <w:tc>
          <w:tcPr>
            <w:tcW w:w="2616" w:type="dxa"/>
            <w:tcBorders>
              <w:top w:val="single" w:sz="4" w:space="0" w:color="auto"/>
              <w:left w:val="nil"/>
              <w:bottom w:val="nil"/>
              <w:right w:val="nil"/>
            </w:tcBorders>
          </w:tcPr>
          <w:p w14:paraId="64CF4649"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sz w:val="20"/>
                <w:szCs w:val="20"/>
                <w:lang w:val="en-US" w:eastAsia="ru-RU"/>
              </w:rPr>
              <w:t>F</w:t>
            </w:r>
          </w:p>
        </w:tc>
        <w:tc>
          <w:tcPr>
            <w:tcW w:w="2016" w:type="dxa"/>
            <w:tcBorders>
              <w:top w:val="single" w:sz="4" w:space="0" w:color="auto"/>
              <w:left w:val="nil"/>
              <w:bottom w:val="nil"/>
              <w:right w:val="nil"/>
            </w:tcBorders>
          </w:tcPr>
          <w:p w14:paraId="7EC85DAB"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196.2</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67BE72B0"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179.0</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1042B6A9"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200.1</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6A663A5F"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209.4</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6EDA4B91"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185.5</w:t>
            </w:r>
            <w:r w:rsidRPr="00483AFA">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4791D995"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214.7</w:t>
            </w:r>
            <w:r w:rsidRPr="00483AFA">
              <w:rPr>
                <w:rFonts w:eastAsiaTheme="minorEastAsia" w:cs="Times New Roman"/>
                <w:sz w:val="20"/>
                <w:szCs w:val="20"/>
                <w:vertAlign w:val="superscript"/>
                <w:lang w:val="en-US" w:eastAsia="ru-RU"/>
              </w:rPr>
              <w:t>***</w:t>
            </w:r>
          </w:p>
        </w:tc>
      </w:tr>
      <w:tr w:rsidR="00483AFA" w:rsidRPr="00483AFA" w14:paraId="7486F18A" w14:textId="77777777" w:rsidTr="00D17B7B">
        <w:tc>
          <w:tcPr>
            <w:tcW w:w="2616" w:type="dxa"/>
            <w:tcBorders>
              <w:top w:val="nil"/>
              <w:left w:val="nil"/>
              <w:bottom w:val="nil"/>
              <w:right w:val="nil"/>
            </w:tcBorders>
          </w:tcPr>
          <w:p w14:paraId="783F94A8"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sz w:val="20"/>
                <w:szCs w:val="20"/>
                <w:lang w:val="en-US" w:eastAsia="ru-RU"/>
              </w:rPr>
              <w:t>R</w:t>
            </w:r>
            <w:r w:rsidRPr="00483AFA">
              <w:rPr>
                <w:rFonts w:eastAsiaTheme="minorEastAsia" w:cs="Times New Roman"/>
                <w:sz w:val="20"/>
                <w:szCs w:val="20"/>
                <w:vertAlign w:val="superscript"/>
                <w:lang w:val="en-US" w:eastAsia="ru-RU"/>
              </w:rPr>
              <w:t>2</w:t>
            </w:r>
          </w:p>
        </w:tc>
        <w:tc>
          <w:tcPr>
            <w:tcW w:w="2016" w:type="dxa"/>
            <w:tcBorders>
              <w:top w:val="nil"/>
              <w:left w:val="nil"/>
              <w:bottom w:val="nil"/>
              <w:right w:val="nil"/>
            </w:tcBorders>
          </w:tcPr>
          <w:p w14:paraId="3A36DD9A"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0.238</w:t>
            </w:r>
          </w:p>
        </w:tc>
        <w:tc>
          <w:tcPr>
            <w:tcW w:w="2016" w:type="dxa"/>
            <w:tcBorders>
              <w:top w:val="nil"/>
              <w:left w:val="nil"/>
              <w:bottom w:val="nil"/>
              <w:right w:val="nil"/>
            </w:tcBorders>
          </w:tcPr>
          <w:p w14:paraId="65E03E6D"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0.222</w:t>
            </w:r>
          </w:p>
        </w:tc>
        <w:tc>
          <w:tcPr>
            <w:tcW w:w="2016" w:type="dxa"/>
            <w:tcBorders>
              <w:top w:val="nil"/>
              <w:left w:val="nil"/>
              <w:bottom w:val="nil"/>
              <w:right w:val="nil"/>
            </w:tcBorders>
          </w:tcPr>
          <w:p w14:paraId="66C7C180"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0.255</w:t>
            </w:r>
          </w:p>
        </w:tc>
        <w:tc>
          <w:tcPr>
            <w:tcW w:w="2016" w:type="dxa"/>
            <w:tcBorders>
              <w:top w:val="nil"/>
              <w:left w:val="nil"/>
              <w:bottom w:val="nil"/>
              <w:right w:val="nil"/>
            </w:tcBorders>
          </w:tcPr>
          <w:p w14:paraId="1857268A"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0.264</w:t>
            </w:r>
          </w:p>
        </w:tc>
        <w:tc>
          <w:tcPr>
            <w:tcW w:w="2016" w:type="dxa"/>
            <w:tcBorders>
              <w:top w:val="nil"/>
              <w:left w:val="nil"/>
              <w:bottom w:val="nil"/>
              <w:right w:val="nil"/>
            </w:tcBorders>
          </w:tcPr>
          <w:p w14:paraId="626E4A35"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0.241</w:t>
            </w:r>
          </w:p>
        </w:tc>
        <w:tc>
          <w:tcPr>
            <w:tcW w:w="2016" w:type="dxa"/>
            <w:tcBorders>
              <w:top w:val="nil"/>
              <w:left w:val="nil"/>
              <w:bottom w:val="nil"/>
              <w:right w:val="nil"/>
            </w:tcBorders>
          </w:tcPr>
          <w:p w14:paraId="3C21B76F"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0.269</w:t>
            </w:r>
          </w:p>
        </w:tc>
      </w:tr>
      <w:tr w:rsidR="00483AFA" w:rsidRPr="00483AFA" w14:paraId="299BBFF4" w14:textId="77777777" w:rsidTr="00D17B7B">
        <w:tc>
          <w:tcPr>
            <w:tcW w:w="1998" w:type="dxa"/>
            <w:tcBorders>
              <w:top w:val="nil"/>
              <w:left w:val="nil"/>
              <w:bottom w:val="nil"/>
              <w:right w:val="nil"/>
            </w:tcBorders>
          </w:tcPr>
          <w:p w14:paraId="77ED41A0"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proofErr w:type="spellStart"/>
            <w:r w:rsidRPr="00483AFA">
              <w:rPr>
                <w:rFonts w:eastAsiaTheme="minorEastAsia" w:cs="Times New Roman"/>
                <w:i/>
                <w:iCs/>
                <w:sz w:val="20"/>
                <w:szCs w:val="20"/>
                <w:lang w:val="en-US" w:eastAsia="ru-RU"/>
              </w:rPr>
              <w:t>df</w:t>
            </w:r>
            <w:proofErr w:type="spellEnd"/>
          </w:p>
        </w:tc>
        <w:tc>
          <w:tcPr>
            <w:tcW w:w="1554" w:type="dxa"/>
            <w:tcBorders>
              <w:top w:val="nil"/>
              <w:left w:val="nil"/>
              <w:bottom w:val="nil"/>
              <w:right w:val="nil"/>
            </w:tcBorders>
          </w:tcPr>
          <w:p w14:paraId="63FB9920"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6</w:t>
            </w:r>
          </w:p>
        </w:tc>
        <w:tc>
          <w:tcPr>
            <w:tcW w:w="1554" w:type="dxa"/>
            <w:tcBorders>
              <w:top w:val="nil"/>
              <w:left w:val="nil"/>
              <w:bottom w:val="nil"/>
              <w:right w:val="nil"/>
            </w:tcBorders>
          </w:tcPr>
          <w:p w14:paraId="462E4029"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6</w:t>
            </w:r>
          </w:p>
        </w:tc>
        <w:tc>
          <w:tcPr>
            <w:tcW w:w="1554" w:type="dxa"/>
            <w:tcBorders>
              <w:top w:val="nil"/>
              <w:left w:val="nil"/>
              <w:bottom w:val="nil"/>
              <w:right w:val="nil"/>
            </w:tcBorders>
          </w:tcPr>
          <w:p w14:paraId="77602F12"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6</w:t>
            </w:r>
          </w:p>
        </w:tc>
        <w:tc>
          <w:tcPr>
            <w:tcW w:w="1554" w:type="dxa"/>
            <w:tcBorders>
              <w:top w:val="nil"/>
              <w:left w:val="nil"/>
              <w:bottom w:val="nil"/>
              <w:right w:val="nil"/>
            </w:tcBorders>
          </w:tcPr>
          <w:p w14:paraId="3FFABF00"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6</w:t>
            </w:r>
          </w:p>
        </w:tc>
        <w:tc>
          <w:tcPr>
            <w:tcW w:w="1554" w:type="dxa"/>
            <w:tcBorders>
              <w:top w:val="nil"/>
              <w:left w:val="nil"/>
              <w:bottom w:val="nil"/>
              <w:right w:val="nil"/>
            </w:tcBorders>
          </w:tcPr>
          <w:p w14:paraId="117E276A"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6</w:t>
            </w:r>
          </w:p>
        </w:tc>
        <w:tc>
          <w:tcPr>
            <w:tcW w:w="1554" w:type="dxa"/>
            <w:tcBorders>
              <w:top w:val="nil"/>
              <w:left w:val="nil"/>
              <w:bottom w:val="nil"/>
              <w:right w:val="nil"/>
            </w:tcBorders>
          </w:tcPr>
          <w:p w14:paraId="2FBABAC4"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6</w:t>
            </w:r>
          </w:p>
        </w:tc>
      </w:tr>
      <w:tr w:rsidR="00483AFA" w:rsidRPr="00483AFA" w14:paraId="6274E443" w14:textId="77777777" w:rsidTr="00D17B7B">
        <w:tc>
          <w:tcPr>
            <w:tcW w:w="1998" w:type="dxa"/>
            <w:tcBorders>
              <w:top w:val="nil"/>
              <w:left w:val="nil"/>
              <w:bottom w:val="single" w:sz="4" w:space="0" w:color="auto"/>
              <w:right w:val="nil"/>
            </w:tcBorders>
          </w:tcPr>
          <w:p w14:paraId="571FC9CF"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sz w:val="20"/>
                <w:szCs w:val="20"/>
                <w:lang w:val="en-US" w:eastAsia="ru-RU"/>
              </w:rPr>
              <w:t>N</w:t>
            </w:r>
          </w:p>
        </w:tc>
        <w:tc>
          <w:tcPr>
            <w:tcW w:w="1554" w:type="dxa"/>
            <w:tcBorders>
              <w:top w:val="nil"/>
              <w:left w:val="nil"/>
              <w:bottom w:val="single" w:sz="4" w:space="0" w:color="auto"/>
              <w:right w:val="nil"/>
            </w:tcBorders>
          </w:tcPr>
          <w:p w14:paraId="798DDFB0"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3,772</w:t>
            </w:r>
          </w:p>
        </w:tc>
        <w:tc>
          <w:tcPr>
            <w:tcW w:w="1554" w:type="dxa"/>
            <w:tcBorders>
              <w:top w:val="nil"/>
              <w:left w:val="nil"/>
              <w:bottom w:val="single" w:sz="4" w:space="0" w:color="auto"/>
              <w:right w:val="nil"/>
            </w:tcBorders>
          </w:tcPr>
          <w:p w14:paraId="52CB6CCE"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3,772</w:t>
            </w:r>
          </w:p>
        </w:tc>
        <w:tc>
          <w:tcPr>
            <w:tcW w:w="1554" w:type="dxa"/>
            <w:tcBorders>
              <w:top w:val="nil"/>
              <w:left w:val="nil"/>
              <w:bottom w:val="single" w:sz="4" w:space="0" w:color="auto"/>
              <w:right w:val="nil"/>
            </w:tcBorders>
          </w:tcPr>
          <w:p w14:paraId="6119FD11"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3,505</w:t>
            </w:r>
          </w:p>
        </w:tc>
        <w:tc>
          <w:tcPr>
            <w:tcW w:w="1554" w:type="dxa"/>
            <w:tcBorders>
              <w:top w:val="nil"/>
              <w:left w:val="nil"/>
              <w:bottom w:val="single" w:sz="4" w:space="0" w:color="auto"/>
              <w:right w:val="nil"/>
            </w:tcBorders>
          </w:tcPr>
          <w:p w14:paraId="3D0E5409"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3,505</w:t>
            </w:r>
          </w:p>
        </w:tc>
        <w:tc>
          <w:tcPr>
            <w:tcW w:w="1554" w:type="dxa"/>
            <w:tcBorders>
              <w:top w:val="nil"/>
              <w:left w:val="nil"/>
              <w:bottom w:val="single" w:sz="4" w:space="0" w:color="auto"/>
              <w:right w:val="nil"/>
            </w:tcBorders>
          </w:tcPr>
          <w:p w14:paraId="69BAB575"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3,505</w:t>
            </w:r>
          </w:p>
        </w:tc>
        <w:tc>
          <w:tcPr>
            <w:tcW w:w="1554" w:type="dxa"/>
            <w:tcBorders>
              <w:top w:val="nil"/>
              <w:left w:val="nil"/>
              <w:bottom w:val="single" w:sz="4" w:space="0" w:color="auto"/>
              <w:right w:val="nil"/>
            </w:tcBorders>
          </w:tcPr>
          <w:p w14:paraId="3AD041B1" w14:textId="77777777" w:rsidR="00483AFA" w:rsidRPr="00483AFA" w:rsidRDefault="00483AFA" w:rsidP="00483AFA">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483AFA">
              <w:rPr>
                <w:rFonts w:eastAsiaTheme="minorEastAsia" w:cs="Times New Roman"/>
                <w:sz w:val="20"/>
                <w:szCs w:val="20"/>
                <w:lang w:val="en-US" w:eastAsia="ru-RU"/>
              </w:rPr>
              <w:t>3,505</w:t>
            </w:r>
          </w:p>
        </w:tc>
      </w:tr>
    </w:tbl>
    <w:p w14:paraId="3965CAB0" w14:textId="77777777" w:rsidR="00483AFA" w:rsidRPr="00483AFA" w:rsidRDefault="00483AFA" w:rsidP="00483AFA">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483AFA">
        <w:rPr>
          <w:rFonts w:eastAsiaTheme="minorEastAsia" w:cs="Times New Roman"/>
          <w:i/>
          <w:iCs/>
          <w:sz w:val="20"/>
          <w:szCs w:val="20"/>
          <w:lang w:val="en-US" w:eastAsia="ru-RU"/>
        </w:rPr>
        <w:t xml:space="preserve">Notes: </w:t>
      </w:r>
      <w:r w:rsidRPr="00483AFA">
        <w:rPr>
          <w:rFonts w:eastAsiaTheme="minorEastAsia" w:cs="Times New Roman"/>
          <w:sz w:val="20"/>
          <w:szCs w:val="20"/>
          <w:lang w:val="en-US" w:eastAsia="ru-RU"/>
        </w:rPr>
        <w:t xml:space="preserve">All models include controls for sex and TIMSS residence area (suppressed in tables). Main values are OLS regression coefficients. Standard errors provided in parentheses. </w:t>
      </w:r>
      <w:r w:rsidRPr="00483AFA">
        <w:rPr>
          <w:rFonts w:eastAsiaTheme="minorEastAsia" w:cs="Times New Roman"/>
          <w:i/>
          <w:sz w:val="20"/>
          <w:szCs w:val="20"/>
          <w:lang w:val="en-US" w:eastAsia="ru-RU"/>
        </w:rPr>
        <w:t xml:space="preserve">Source: </w:t>
      </w:r>
      <w:proofErr w:type="spellStart"/>
      <w:r w:rsidRPr="00483AFA">
        <w:rPr>
          <w:rFonts w:eastAsiaTheme="minorEastAsia" w:cs="Times New Roman"/>
          <w:sz w:val="20"/>
          <w:szCs w:val="20"/>
          <w:lang w:val="en-US" w:eastAsia="ru-RU"/>
        </w:rPr>
        <w:t>TrEC</w:t>
      </w:r>
      <w:proofErr w:type="spellEnd"/>
      <w:r w:rsidRPr="00483AFA">
        <w:rPr>
          <w:rFonts w:eastAsiaTheme="minorEastAsia" w:cs="Times New Roman"/>
          <w:sz w:val="20"/>
          <w:szCs w:val="20"/>
          <w:lang w:val="en-US" w:eastAsia="ru-RU"/>
        </w:rPr>
        <w:t xml:space="preserve">; own calculations. </w:t>
      </w:r>
      <w:r w:rsidRPr="00483AFA">
        <w:rPr>
          <w:rFonts w:eastAsiaTheme="minorEastAsia" w:cs="Times New Roman"/>
          <w:sz w:val="20"/>
          <w:szCs w:val="20"/>
          <w:vertAlign w:val="superscript"/>
          <w:lang w:val="en-US" w:eastAsia="ru-RU"/>
        </w:rPr>
        <w:t>*</w:t>
      </w:r>
      <w:r w:rsidRPr="00483AFA">
        <w:rPr>
          <w:rFonts w:eastAsiaTheme="minorEastAsia" w:cs="Times New Roman"/>
          <w:sz w:val="20"/>
          <w:szCs w:val="20"/>
          <w:lang w:val="en-US" w:eastAsia="ru-RU"/>
        </w:rPr>
        <w:t xml:space="preserve"> </w:t>
      </w:r>
      <w:proofErr w:type="gramStart"/>
      <w:r w:rsidRPr="00483AFA">
        <w:rPr>
          <w:rFonts w:eastAsiaTheme="minorEastAsia" w:cs="Times New Roman"/>
          <w:i/>
          <w:iCs/>
          <w:sz w:val="20"/>
          <w:szCs w:val="20"/>
          <w:lang w:val="en-US" w:eastAsia="ru-RU"/>
        </w:rPr>
        <w:t>p</w:t>
      </w:r>
      <w:proofErr w:type="gramEnd"/>
      <w:r w:rsidRPr="00483AFA">
        <w:rPr>
          <w:rFonts w:eastAsiaTheme="minorEastAsia" w:cs="Times New Roman"/>
          <w:sz w:val="20"/>
          <w:szCs w:val="20"/>
          <w:lang w:val="en-US" w:eastAsia="ru-RU"/>
        </w:rPr>
        <w:t xml:space="preserve"> &lt; 0.05, </w:t>
      </w:r>
      <w:r w:rsidRPr="00483AFA">
        <w:rPr>
          <w:rFonts w:eastAsiaTheme="minorEastAsia" w:cs="Times New Roman"/>
          <w:sz w:val="20"/>
          <w:szCs w:val="20"/>
          <w:vertAlign w:val="superscript"/>
          <w:lang w:val="en-US" w:eastAsia="ru-RU"/>
        </w:rPr>
        <w:t>**</w:t>
      </w:r>
      <w:r w:rsidRPr="00483AFA">
        <w:rPr>
          <w:rFonts w:eastAsiaTheme="minorEastAsia" w:cs="Times New Roman"/>
          <w:sz w:val="20"/>
          <w:szCs w:val="20"/>
          <w:lang w:val="en-US" w:eastAsia="ru-RU"/>
        </w:rPr>
        <w:t xml:space="preserve"> </w:t>
      </w:r>
      <w:r w:rsidRPr="00483AFA">
        <w:rPr>
          <w:rFonts w:eastAsiaTheme="minorEastAsia" w:cs="Times New Roman"/>
          <w:i/>
          <w:iCs/>
          <w:sz w:val="20"/>
          <w:szCs w:val="20"/>
          <w:lang w:val="en-US" w:eastAsia="ru-RU"/>
        </w:rPr>
        <w:t>p</w:t>
      </w:r>
      <w:r w:rsidRPr="00483AFA">
        <w:rPr>
          <w:rFonts w:eastAsiaTheme="minorEastAsia" w:cs="Times New Roman"/>
          <w:sz w:val="20"/>
          <w:szCs w:val="20"/>
          <w:lang w:val="en-US" w:eastAsia="ru-RU"/>
        </w:rPr>
        <w:t xml:space="preserve"> &lt; 0.01, </w:t>
      </w:r>
      <w:r w:rsidRPr="00483AFA">
        <w:rPr>
          <w:rFonts w:eastAsiaTheme="minorEastAsia" w:cs="Times New Roman"/>
          <w:sz w:val="20"/>
          <w:szCs w:val="20"/>
          <w:vertAlign w:val="superscript"/>
          <w:lang w:val="en-US" w:eastAsia="ru-RU"/>
        </w:rPr>
        <w:t>***</w:t>
      </w:r>
      <w:r w:rsidRPr="00483AFA">
        <w:rPr>
          <w:rFonts w:eastAsiaTheme="minorEastAsia" w:cs="Times New Roman"/>
          <w:sz w:val="20"/>
          <w:szCs w:val="20"/>
          <w:lang w:val="en-US" w:eastAsia="ru-RU"/>
        </w:rPr>
        <w:t xml:space="preserve"> </w:t>
      </w:r>
      <w:r w:rsidRPr="00483AFA">
        <w:rPr>
          <w:rFonts w:eastAsiaTheme="minorEastAsia" w:cs="Times New Roman"/>
          <w:i/>
          <w:iCs/>
          <w:sz w:val="20"/>
          <w:szCs w:val="20"/>
          <w:lang w:val="en-US" w:eastAsia="ru-RU"/>
        </w:rPr>
        <w:t>p</w:t>
      </w:r>
      <w:r w:rsidRPr="00483AFA">
        <w:rPr>
          <w:rFonts w:eastAsiaTheme="minorEastAsia" w:cs="Times New Roman"/>
          <w:sz w:val="20"/>
          <w:szCs w:val="20"/>
          <w:lang w:val="en-US" w:eastAsia="ru-RU"/>
        </w:rPr>
        <w:t xml:space="preserve"> &lt; 0.001</w:t>
      </w:r>
    </w:p>
    <w:p w14:paraId="343BA1E5" w14:textId="77777777" w:rsidR="002775EB" w:rsidRDefault="002775EB" w:rsidP="00C35151">
      <w:pPr>
        <w:ind w:firstLine="0"/>
        <w:rPr>
          <w:lang w:val="en-US"/>
        </w:rPr>
      </w:pPr>
    </w:p>
    <w:p w14:paraId="7A35DD86" w14:textId="77777777" w:rsidR="00A90E13" w:rsidRDefault="00A90E13">
      <w:pPr>
        <w:spacing w:after="200" w:line="276" w:lineRule="auto"/>
        <w:ind w:firstLine="0"/>
        <w:jc w:val="left"/>
        <w:rPr>
          <w:rFonts w:eastAsiaTheme="minorEastAsia" w:cs="Times New Roman"/>
          <w:b/>
          <w:szCs w:val="24"/>
          <w:lang w:val="en-US" w:eastAsia="ru-RU"/>
        </w:rPr>
      </w:pPr>
      <w:r>
        <w:rPr>
          <w:rFonts w:eastAsiaTheme="minorEastAsia" w:cs="Times New Roman"/>
          <w:b/>
          <w:szCs w:val="24"/>
          <w:lang w:val="en-US" w:eastAsia="ru-RU"/>
        </w:rPr>
        <w:br w:type="page"/>
      </w:r>
    </w:p>
    <w:p w14:paraId="12C12C48" w14:textId="5E8A4996" w:rsidR="00A90E13" w:rsidRPr="00A90E13" w:rsidRDefault="00A90E13" w:rsidP="00A90E13">
      <w:pPr>
        <w:keepNext/>
        <w:widowControl w:val="0"/>
        <w:autoSpaceDE w:val="0"/>
        <w:autoSpaceDN w:val="0"/>
        <w:adjustRightInd w:val="0"/>
        <w:spacing w:line="240" w:lineRule="auto"/>
        <w:ind w:firstLine="0"/>
        <w:jc w:val="left"/>
        <w:rPr>
          <w:rFonts w:eastAsiaTheme="minorEastAsia" w:cs="Times New Roman"/>
          <w:b/>
          <w:szCs w:val="24"/>
          <w:lang w:val="en-US" w:eastAsia="ru-RU"/>
        </w:rPr>
      </w:pPr>
      <w:r w:rsidRPr="00A90E13">
        <w:rPr>
          <w:rFonts w:eastAsiaTheme="minorEastAsia" w:cs="Times New Roman"/>
          <w:b/>
          <w:szCs w:val="24"/>
          <w:lang w:val="en-US" w:eastAsia="ru-RU"/>
        </w:rPr>
        <w:lastRenderedPageBreak/>
        <w:t>Table A.3. Multinomial regression models of educational pathways with interaction term (vocational pathway as baseline outcome)</w:t>
      </w:r>
    </w:p>
    <w:p w14:paraId="17CC932F" w14:textId="77777777" w:rsidR="00A90E13" w:rsidRPr="00A90E13" w:rsidRDefault="00A90E13" w:rsidP="00A90E13">
      <w:pPr>
        <w:keepNext/>
        <w:widowControl w:val="0"/>
        <w:autoSpaceDE w:val="0"/>
        <w:autoSpaceDN w:val="0"/>
        <w:adjustRightInd w:val="0"/>
        <w:spacing w:line="240" w:lineRule="auto"/>
        <w:ind w:firstLine="0"/>
        <w:jc w:val="left"/>
        <w:rPr>
          <w:rFonts w:eastAsiaTheme="minorEastAsia" w:cs="Times New Roman"/>
          <w:sz w:val="20"/>
          <w:szCs w:val="20"/>
          <w:lang w:val="en-US" w:eastAsia="ru-RU"/>
        </w:rPr>
      </w:pPr>
    </w:p>
    <w:tbl>
      <w:tblPr>
        <w:tblW w:w="5000" w:type="pct"/>
        <w:tblLook w:val="04A0" w:firstRow="1" w:lastRow="0" w:firstColumn="1" w:lastColumn="0" w:noHBand="0" w:noVBand="1"/>
      </w:tblPr>
      <w:tblGrid>
        <w:gridCol w:w="2204"/>
        <w:gridCol w:w="1179"/>
        <w:gridCol w:w="1181"/>
        <w:gridCol w:w="1179"/>
        <w:gridCol w:w="1181"/>
        <w:gridCol w:w="1179"/>
        <w:gridCol w:w="1183"/>
      </w:tblGrid>
      <w:tr w:rsidR="00A90E13" w:rsidRPr="00A90E13" w14:paraId="47540C5E" w14:textId="77777777" w:rsidTr="00D17B7B">
        <w:tc>
          <w:tcPr>
            <w:tcW w:w="1186" w:type="pct"/>
            <w:tcBorders>
              <w:top w:val="single" w:sz="4" w:space="0" w:color="auto"/>
            </w:tcBorders>
          </w:tcPr>
          <w:p w14:paraId="1E37416D"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tcBorders>
              <w:top w:val="single" w:sz="4" w:space="0" w:color="auto"/>
            </w:tcBorders>
            <w:hideMark/>
          </w:tcPr>
          <w:p w14:paraId="48D5B3C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w:t>
            </w:r>
          </w:p>
        </w:tc>
        <w:tc>
          <w:tcPr>
            <w:tcW w:w="636" w:type="pct"/>
            <w:tcBorders>
              <w:top w:val="single" w:sz="4" w:space="0" w:color="auto"/>
            </w:tcBorders>
            <w:hideMark/>
          </w:tcPr>
          <w:p w14:paraId="495F00E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w:t>
            </w:r>
          </w:p>
        </w:tc>
        <w:tc>
          <w:tcPr>
            <w:tcW w:w="635" w:type="pct"/>
            <w:tcBorders>
              <w:top w:val="single" w:sz="4" w:space="0" w:color="auto"/>
            </w:tcBorders>
            <w:hideMark/>
          </w:tcPr>
          <w:p w14:paraId="5CB2AAC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(3)</w:t>
            </w:r>
          </w:p>
        </w:tc>
        <w:tc>
          <w:tcPr>
            <w:tcW w:w="636" w:type="pct"/>
            <w:tcBorders>
              <w:top w:val="single" w:sz="4" w:space="0" w:color="auto"/>
            </w:tcBorders>
            <w:hideMark/>
          </w:tcPr>
          <w:p w14:paraId="4D4EA71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(4)</w:t>
            </w:r>
          </w:p>
        </w:tc>
        <w:tc>
          <w:tcPr>
            <w:tcW w:w="635" w:type="pct"/>
            <w:tcBorders>
              <w:top w:val="single" w:sz="4" w:space="0" w:color="auto"/>
            </w:tcBorders>
            <w:hideMark/>
          </w:tcPr>
          <w:p w14:paraId="5D6C7DB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(5)</w:t>
            </w:r>
          </w:p>
        </w:tc>
        <w:tc>
          <w:tcPr>
            <w:tcW w:w="637" w:type="pct"/>
            <w:tcBorders>
              <w:top w:val="single" w:sz="4" w:space="0" w:color="auto"/>
            </w:tcBorders>
            <w:hideMark/>
          </w:tcPr>
          <w:p w14:paraId="26207C7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(6)</w:t>
            </w:r>
          </w:p>
        </w:tc>
      </w:tr>
      <w:tr w:rsidR="00A90E13" w:rsidRPr="00A90E13" w14:paraId="6F2A44A0" w14:textId="77777777" w:rsidTr="00D17B7B">
        <w:tc>
          <w:tcPr>
            <w:tcW w:w="1186" w:type="pct"/>
            <w:tcBorders>
              <w:bottom w:val="single" w:sz="4" w:space="0" w:color="auto"/>
            </w:tcBorders>
          </w:tcPr>
          <w:p w14:paraId="7E6B46E4"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tcBorders>
              <w:bottom w:val="single" w:sz="4" w:space="0" w:color="auto"/>
            </w:tcBorders>
            <w:hideMark/>
          </w:tcPr>
          <w:p w14:paraId="748B836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 xml:space="preserve">TIMSS math score </w:t>
            </w:r>
          </w:p>
        </w:tc>
        <w:tc>
          <w:tcPr>
            <w:tcW w:w="636" w:type="pct"/>
            <w:tcBorders>
              <w:bottom w:val="single" w:sz="4" w:space="0" w:color="auto"/>
            </w:tcBorders>
            <w:hideMark/>
          </w:tcPr>
          <w:p w14:paraId="273BDEF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 xml:space="preserve">TIMSS science score </w:t>
            </w:r>
          </w:p>
        </w:tc>
        <w:tc>
          <w:tcPr>
            <w:tcW w:w="635" w:type="pct"/>
            <w:tcBorders>
              <w:bottom w:val="single" w:sz="4" w:space="0" w:color="auto"/>
            </w:tcBorders>
            <w:hideMark/>
          </w:tcPr>
          <w:p w14:paraId="3EE511D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 xml:space="preserve">PISA math score </w:t>
            </w:r>
          </w:p>
        </w:tc>
        <w:tc>
          <w:tcPr>
            <w:tcW w:w="636" w:type="pct"/>
            <w:tcBorders>
              <w:bottom w:val="single" w:sz="4" w:space="0" w:color="auto"/>
            </w:tcBorders>
            <w:hideMark/>
          </w:tcPr>
          <w:p w14:paraId="74E9CE0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 xml:space="preserve">PISA reading score </w:t>
            </w:r>
          </w:p>
        </w:tc>
        <w:tc>
          <w:tcPr>
            <w:tcW w:w="635" w:type="pct"/>
            <w:tcBorders>
              <w:bottom w:val="single" w:sz="4" w:space="0" w:color="auto"/>
            </w:tcBorders>
            <w:hideMark/>
          </w:tcPr>
          <w:p w14:paraId="4891BE7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 xml:space="preserve">PISA science score </w:t>
            </w:r>
          </w:p>
        </w:tc>
        <w:tc>
          <w:tcPr>
            <w:tcW w:w="637" w:type="pct"/>
            <w:tcBorders>
              <w:bottom w:val="single" w:sz="4" w:space="0" w:color="auto"/>
            </w:tcBorders>
            <w:hideMark/>
          </w:tcPr>
          <w:p w14:paraId="1A4549B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 xml:space="preserve">Composite ability measure </w:t>
            </w:r>
          </w:p>
        </w:tc>
      </w:tr>
      <w:tr w:rsidR="00A90E13" w:rsidRPr="00A90E13" w14:paraId="2C3E6751" w14:textId="77777777" w:rsidTr="00D17B7B">
        <w:tc>
          <w:tcPr>
            <w:tcW w:w="5000" w:type="pct"/>
            <w:gridSpan w:val="7"/>
            <w:hideMark/>
          </w:tcPr>
          <w:p w14:paraId="4397A91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 xml:space="preserve">Academic pathway </w:t>
            </w:r>
          </w:p>
        </w:tc>
      </w:tr>
      <w:tr w:rsidR="00A90E13" w:rsidRPr="00A90E13" w14:paraId="41F5931E" w14:textId="77777777" w:rsidTr="00D17B7B">
        <w:tc>
          <w:tcPr>
            <w:tcW w:w="1186" w:type="pct"/>
            <w:hideMark/>
          </w:tcPr>
          <w:p w14:paraId="710E5C59"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Higher social background</w:t>
            </w:r>
          </w:p>
        </w:tc>
        <w:tc>
          <w:tcPr>
            <w:tcW w:w="635" w:type="pct"/>
            <w:hideMark/>
          </w:tcPr>
          <w:p w14:paraId="4EF9BEF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1.477</w:t>
            </w:r>
            <w:r w:rsidRPr="00A90E13">
              <w:rPr>
                <w:rFonts w:eastAsiaTheme="minorEastAsia" w:cs="Times New Roman"/>
                <w:sz w:val="18"/>
                <w:szCs w:val="18"/>
                <w:vertAlign w:val="superscript"/>
                <w:lang w:val="en-US" w:eastAsia="ru-RU"/>
              </w:rPr>
              <w:t>***</w:t>
            </w:r>
          </w:p>
        </w:tc>
        <w:tc>
          <w:tcPr>
            <w:tcW w:w="636" w:type="pct"/>
            <w:hideMark/>
          </w:tcPr>
          <w:p w14:paraId="5E1ED9B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1.492</w:t>
            </w:r>
            <w:r w:rsidRPr="00A90E13">
              <w:rPr>
                <w:rFonts w:eastAsiaTheme="minorEastAsia" w:cs="Times New Roman"/>
                <w:sz w:val="18"/>
                <w:szCs w:val="18"/>
                <w:vertAlign w:val="superscript"/>
                <w:lang w:val="en-US" w:eastAsia="ru-RU"/>
              </w:rPr>
              <w:t>***</w:t>
            </w:r>
          </w:p>
        </w:tc>
        <w:tc>
          <w:tcPr>
            <w:tcW w:w="635" w:type="pct"/>
            <w:hideMark/>
          </w:tcPr>
          <w:p w14:paraId="6093748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1.336</w:t>
            </w:r>
            <w:r w:rsidRPr="00A90E13">
              <w:rPr>
                <w:rFonts w:eastAsiaTheme="minorEastAsia" w:cs="Times New Roman"/>
                <w:sz w:val="18"/>
                <w:szCs w:val="18"/>
                <w:vertAlign w:val="superscript"/>
                <w:lang w:val="en-US" w:eastAsia="ru-RU"/>
              </w:rPr>
              <w:t>***</w:t>
            </w:r>
          </w:p>
        </w:tc>
        <w:tc>
          <w:tcPr>
            <w:tcW w:w="636" w:type="pct"/>
            <w:hideMark/>
          </w:tcPr>
          <w:p w14:paraId="13EB707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1.410</w:t>
            </w:r>
            <w:r w:rsidRPr="00A90E13">
              <w:rPr>
                <w:rFonts w:eastAsiaTheme="minorEastAsia" w:cs="Times New Roman"/>
                <w:sz w:val="18"/>
                <w:szCs w:val="18"/>
                <w:vertAlign w:val="superscript"/>
                <w:lang w:val="en-US" w:eastAsia="ru-RU"/>
              </w:rPr>
              <w:t>***</w:t>
            </w:r>
          </w:p>
        </w:tc>
        <w:tc>
          <w:tcPr>
            <w:tcW w:w="635" w:type="pct"/>
            <w:hideMark/>
          </w:tcPr>
          <w:p w14:paraId="4A452E0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1.377</w:t>
            </w:r>
            <w:r w:rsidRPr="00A90E13">
              <w:rPr>
                <w:rFonts w:eastAsiaTheme="minorEastAsia" w:cs="Times New Roman"/>
                <w:sz w:val="18"/>
                <w:szCs w:val="18"/>
                <w:vertAlign w:val="superscript"/>
                <w:lang w:val="en-US" w:eastAsia="ru-RU"/>
              </w:rPr>
              <w:t>***</w:t>
            </w:r>
          </w:p>
        </w:tc>
        <w:tc>
          <w:tcPr>
            <w:tcW w:w="637" w:type="pct"/>
            <w:hideMark/>
          </w:tcPr>
          <w:p w14:paraId="5B03F5B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1.324</w:t>
            </w:r>
            <w:r w:rsidRPr="00A90E13">
              <w:rPr>
                <w:rFonts w:eastAsiaTheme="minorEastAsia" w:cs="Times New Roman"/>
                <w:sz w:val="18"/>
                <w:szCs w:val="18"/>
                <w:vertAlign w:val="superscript"/>
                <w:lang w:val="en-US" w:eastAsia="ru-RU"/>
              </w:rPr>
              <w:t>***</w:t>
            </w:r>
          </w:p>
        </w:tc>
      </w:tr>
      <w:tr w:rsidR="00A90E13" w:rsidRPr="00A90E13" w14:paraId="0EE1F738" w14:textId="77777777" w:rsidTr="00D17B7B">
        <w:tc>
          <w:tcPr>
            <w:tcW w:w="1186" w:type="pct"/>
          </w:tcPr>
          <w:p w14:paraId="0519BD7E"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47874B3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(0.102)</w:t>
            </w:r>
          </w:p>
        </w:tc>
        <w:tc>
          <w:tcPr>
            <w:tcW w:w="636" w:type="pct"/>
            <w:hideMark/>
          </w:tcPr>
          <w:p w14:paraId="2C5D388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(0.100)</w:t>
            </w:r>
          </w:p>
        </w:tc>
        <w:tc>
          <w:tcPr>
            <w:tcW w:w="635" w:type="pct"/>
            <w:hideMark/>
          </w:tcPr>
          <w:p w14:paraId="0F4F3C3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(0.110)</w:t>
            </w:r>
          </w:p>
        </w:tc>
        <w:tc>
          <w:tcPr>
            <w:tcW w:w="636" w:type="pct"/>
            <w:hideMark/>
          </w:tcPr>
          <w:p w14:paraId="6DC5A5E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(0.110)</w:t>
            </w:r>
          </w:p>
        </w:tc>
        <w:tc>
          <w:tcPr>
            <w:tcW w:w="635" w:type="pct"/>
            <w:hideMark/>
          </w:tcPr>
          <w:p w14:paraId="527B6BC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(0.106)</w:t>
            </w:r>
          </w:p>
        </w:tc>
        <w:tc>
          <w:tcPr>
            <w:tcW w:w="637" w:type="pct"/>
            <w:hideMark/>
          </w:tcPr>
          <w:p w14:paraId="63E2CD1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(0.111)</w:t>
            </w:r>
          </w:p>
        </w:tc>
      </w:tr>
      <w:tr w:rsidR="00A90E13" w:rsidRPr="00A90E13" w14:paraId="1FDD56B7" w14:textId="77777777" w:rsidTr="00D17B7B">
        <w:tc>
          <w:tcPr>
            <w:tcW w:w="1186" w:type="pct"/>
            <w:hideMark/>
          </w:tcPr>
          <w:p w14:paraId="0DD5E45B"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w:t>
            </w:r>
          </w:p>
        </w:tc>
        <w:tc>
          <w:tcPr>
            <w:tcW w:w="635" w:type="pct"/>
            <w:hideMark/>
          </w:tcPr>
          <w:p w14:paraId="61A635B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1.031</w:t>
            </w:r>
            <w:r w:rsidRPr="00A90E13">
              <w:rPr>
                <w:rFonts w:eastAsiaTheme="minorEastAsia" w:cs="Times New Roman"/>
                <w:sz w:val="18"/>
                <w:szCs w:val="18"/>
                <w:vertAlign w:val="superscript"/>
                <w:lang w:val="en-US" w:eastAsia="ru-RU"/>
              </w:rPr>
              <w:t>***</w:t>
            </w:r>
          </w:p>
        </w:tc>
        <w:tc>
          <w:tcPr>
            <w:tcW w:w="636" w:type="pct"/>
            <w:hideMark/>
          </w:tcPr>
          <w:p w14:paraId="4066E82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0.865</w:t>
            </w:r>
            <w:r w:rsidRPr="00A90E13">
              <w:rPr>
                <w:rFonts w:eastAsiaTheme="minorEastAsia" w:cs="Times New Roman"/>
                <w:sz w:val="18"/>
                <w:szCs w:val="18"/>
                <w:vertAlign w:val="superscript"/>
                <w:lang w:val="en-US" w:eastAsia="ru-RU"/>
              </w:rPr>
              <w:t>***</w:t>
            </w:r>
          </w:p>
        </w:tc>
        <w:tc>
          <w:tcPr>
            <w:tcW w:w="635" w:type="pct"/>
            <w:hideMark/>
          </w:tcPr>
          <w:p w14:paraId="46E5B92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1.299</w:t>
            </w:r>
            <w:r w:rsidRPr="00A90E13">
              <w:rPr>
                <w:rFonts w:eastAsiaTheme="minorEastAsia" w:cs="Times New Roman"/>
                <w:sz w:val="18"/>
                <w:szCs w:val="18"/>
                <w:vertAlign w:val="superscript"/>
                <w:lang w:val="en-US" w:eastAsia="ru-RU"/>
              </w:rPr>
              <w:t>***</w:t>
            </w:r>
          </w:p>
        </w:tc>
        <w:tc>
          <w:tcPr>
            <w:tcW w:w="636" w:type="pct"/>
            <w:hideMark/>
          </w:tcPr>
          <w:p w14:paraId="75FCC67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1.303</w:t>
            </w:r>
            <w:r w:rsidRPr="00A90E13">
              <w:rPr>
                <w:rFonts w:eastAsiaTheme="minorEastAsia" w:cs="Times New Roman"/>
                <w:sz w:val="18"/>
                <w:szCs w:val="18"/>
                <w:vertAlign w:val="superscript"/>
                <w:lang w:val="en-US" w:eastAsia="ru-RU"/>
              </w:rPr>
              <w:t>***</w:t>
            </w:r>
          </w:p>
        </w:tc>
        <w:tc>
          <w:tcPr>
            <w:tcW w:w="635" w:type="pct"/>
            <w:hideMark/>
          </w:tcPr>
          <w:p w14:paraId="7D57818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1.097</w:t>
            </w:r>
            <w:r w:rsidRPr="00A90E13">
              <w:rPr>
                <w:rFonts w:eastAsiaTheme="minorEastAsia" w:cs="Times New Roman"/>
                <w:sz w:val="18"/>
                <w:szCs w:val="18"/>
                <w:vertAlign w:val="superscript"/>
                <w:lang w:val="en-US" w:eastAsia="ru-RU"/>
              </w:rPr>
              <w:t>***</w:t>
            </w:r>
          </w:p>
        </w:tc>
        <w:tc>
          <w:tcPr>
            <w:tcW w:w="637" w:type="pct"/>
            <w:hideMark/>
          </w:tcPr>
          <w:p w14:paraId="2110E2E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1.346</w:t>
            </w:r>
            <w:r w:rsidRPr="00A90E13">
              <w:rPr>
                <w:rFonts w:eastAsiaTheme="minorEastAsia" w:cs="Times New Roman"/>
                <w:sz w:val="18"/>
                <w:szCs w:val="18"/>
                <w:vertAlign w:val="superscript"/>
                <w:lang w:val="en-US" w:eastAsia="ru-RU"/>
              </w:rPr>
              <w:t>***</w:t>
            </w:r>
          </w:p>
        </w:tc>
      </w:tr>
      <w:tr w:rsidR="00A90E13" w:rsidRPr="00A90E13" w14:paraId="17DDC6BF" w14:textId="77777777" w:rsidTr="00D17B7B">
        <w:tc>
          <w:tcPr>
            <w:tcW w:w="1186" w:type="pct"/>
          </w:tcPr>
          <w:p w14:paraId="09547710"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0868465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(0.066)</w:t>
            </w:r>
          </w:p>
        </w:tc>
        <w:tc>
          <w:tcPr>
            <w:tcW w:w="636" w:type="pct"/>
            <w:hideMark/>
          </w:tcPr>
          <w:p w14:paraId="235FC49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(0.063)</w:t>
            </w:r>
          </w:p>
        </w:tc>
        <w:tc>
          <w:tcPr>
            <w:tcW w:w="635" w:type="pct"/>
            <w:hideMark/>
          </w:tcPr>
          <w:p w14:paraId="2C066D5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(0.077)</w:t>
            </w:r>
          </w:p>
        </w:tc>
        <w:tc>
          <w:tcPr>
            <w:tcW w:w="636" w:type="pct"/>
            <w:hideMark/>
          </w:tcPr>
          <w:p w14:paraId="0D9C6B5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(0.079)</w:t>
            </w:r>
          </w:p>
        </w:tc>
        <w:tc>
          <w:tcPr>
            <w:tcW w:w="635" w:type="pct"/>
            <w:hideMark/>
          </w:tcPr>
          <w:p w14:paraId="44CE6A7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(0.073)</w:t>
            </w:r>
          </w:p>
        </w:tc>
        <w:tc>
          <w:tcPr>
            <w:tcW w:w="637" w:type="pct"/>
            <w:hideMark/>
          </w:tcPr>
          <w:p w14:paraId="3DD7B8E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(0.078)</w:t>
            </w:r>
          </w:p>
        </w:tc>
      </w:tr>
      <w:tr w:rsidR="00A90E13" w:rsidRPr="00A90E13" w14:paraId="13C97D38" w14:textId="77777777" w:rsidTr="00D17B7B">
        <w:trPr>
          <w:trHeight w:val="158"/>
        </w:trPr>
        <w:tc>
          <w:tcPr>
            <w:tcW w:w="1186" w:type="pct"/>
            <w:tcBorders>
              <w:bottom w:val="nil"/>
            </w:tcBorders>
            <w:hideMark/>
          </w:tcPr>
          <w:p w14:paraId="321E49C8"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 x Higher social background</w:t>
            </w:r>
          </w:p>
        </w:tc>
        <w:tc>
          <w:tcPr>
            <w:tcW w:w="635" w:type="pct"/>
            <w:tcBorders>
              <w:bottom w:val="nil"/>
            </w:tcBorders>
            <w:hideMark/>
          </w:tcPr>
          <w:p w14:paraId="4F01409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0.175</w:t>
            </w:r>
          </w:p>
          <w:p w14:paraId="7E16DC6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(0.109)</w:t>
            </w:r>
          </w:p>
        </w:tc>
        <w:tc>
          <w:tcPr>
            <w:tcW w:w="636" w:type="pct"/>
            <w:tcBorders>
              <w:bottom w:val="nil"/>
            </w:tcBorders>
            <w:hideMark/>
          </w:tcPr>
          <w:p w14:paraId="4E11700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0.264</w:t>
            </w:r>
            <w:r w:rsidRPr="00A90E13">
              <w:rPr>
                <w:rFonts w:eastAsiaTheme="minorEastAsia" w:cs="Times New Roman"/>
                <w:sz w:val="18"/>
                <w:szCs w:val="18"/>
                <w:vertAlign w:val="superscript"/>
                <w:lang w:val="en-US" w:eastAsia="ru-RU"/>
              </w:rPr>
              <w:t>*</w:t>
            </w:r>
          </w:p>
          <w:p w14:paraId="0E044B1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(0.105)</w:t>
            </w:r>
          </w:p>
        </w:tc>
        <w:tc>
          <w:tcPr>
            <w:tcW w:w="635" w:type="pct"/>
            <w:tcBorders>
              <w:bottom w:val="nil"/>
            </w:tcBorders>
            <w:hideMark/>
          </w:tcPr>
          <w:p w14:paraId="55C2475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–0.057</w:t>
            </w:r>
          </w:p>
          <w:p w14:paraId="1937AA1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(0.118)</w:t>
            </w:r>
          </w:p>
        </w:tc>
        <w:tc>
          <w:tcPr>
            <w:tcW w:w="636" w:type="pct"/>
            <w:tcBorders>
              <w:bottom w:val="nil"/>
            </w:tcBorders>
            <w:hideMark/>
          </w:tcPr>
          <w:p w14:paraId="0785649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–0.045</w:t>
            </w:r>
          </w:p>
          <w:p w14:paraId="2370B0B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(0.119)</w:t>
            </w:r>
          </w:p>
        </w:tc>
        <w:tc>
          <w:tcPr>
            <w:tcW w:w="635" w:type="pct"/>
            <w:tcBorders>
              <w:bottom w:val="nil"/>
            </w:tcBorders>
            <w:hideMark/>
          </w:tcPr>
          <w:p w14:paraId="3538881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0.032</w:t>
            </w:r>
          </w:p>
          <w:p w14:paraId="54C8CC5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(0.114)</w:t>
            </w:r>
          </w:p>
        </w:tc>
        <w:tc>
          <w:tcPr>
            <w:tcW w:w="637" w:type="pct"/>
            <w:tcBorders>
              <w:bottom w:val="nil"/>
            </w:tcBorders>
            <w:hideMark/>
          </w:tcPr>
          <w:p w14:paraId="365503F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0.007</w:t>
            </w:r>
          </w:p>
          <w:p w14:paraId="7686286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(0.121)</w:t>
            </w:r>
          </w:p>
        </w:tc>
      </w:tr>
      <w:tr w:rsidR="00A90E13" w:rsidRPr="00A90E13" w14:paraId="64EE92D6" w14:textId="77777777" w:rsidTr="00D17B7B">
        <w:tc>
          <w:tcPr>
            <w:tcW w:w="1186" w:type="pct"/>
            <w:hideMark/>
          </w:tcPr>
          <w:p w14:paraId="33D599D9"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Constant</w:t>
            </w:r>
          </w:p>
        </w:tc>
        <w:tc>
          <w:tcPr>
            <w:tcW w:w="635" w:type="pct"/>
            <w:hideMark/>
          </w:tcPr>
          <w:p w14:paraId="247BDEC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–0.195</w:t>
            </w:r>
            <w:r w:rsidRPr="00A90E13">
              <w:rPr>
                <w:rFonts w:eastAsiaTheme="minorEastAsia" w:cs="Times New Roman"/>
                <w:sz w:val="18"/>
                <w:szCs w:val="18"/>
                <w:vertAlign w:val="superscript"/>
                <w:lang w:val="en-US" w:eastAsia="ru-RU"/>
              </w:rPr>
              <w:t>*</w:t>
            </w:r>
          </w:p>
        </w:tc>
        <w:tc>
          <w:tcPr>
            <w:tcW w:w="636" w:type="pct"/>
            <w:hideMark/>
          </w:tcPr>
          <w:p w14:paraId="3F1DE33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–0.284</w:t>
            </w:r>
            <w:r w:rsidRPr="00A90E13">
              <w:rPr>
                <w:rFonts w:eastAsiaTheme="minorEastAsia" w:cs="Times New Roman"/>
                <w:sz w:val="18"/>
                <w:szCs w:val="18"/>
                <w:vertAlign w:val="superscript"/>
                <w:lang w:val="en-US" w:eastAsia="ru-RU"/>
              </w:rPr>
              <w:t>**</w:t>
            </w:r>
          </w:p>
        </w:tc>
        <w:tc>
          <w:tcPr>
            <w:tcW w:w="635" w:type="pct"/>
            <w:hideMark/>
          </w:tcPr>
          <w:p w14:paraId="78A3736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–0.134</w:t>
            </w:r>
          </w:p>
        </w:tc>
        <w:tc>
          <w:tcPr>
            <w:tcW w:w="636" w:type="pct"/>
            <w:hideMark/>
          </w:tcPr>
          <w:p w14:paraId="318FF56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0.223</w:t>
            </w:r>
            <w:r w:rsidRPr="00A90E13">
              <w:rPr>
                <w:rFonts w:eastAsiaTheme="minorEastAsia" w:cs="Times New Roman"/>
                <w:sz w:val="18"/>
                <w:szCs w:val="18"/>
                <w:vertAlign w:val="superscript"/>
                <w:lang w:val="en-US" w:eastAsia="ru-RU"/>
              </w:rPr>
              <w:t>*</w:t>
            </w:r>
          </w:p>
        </w:tc>
        <w:tc>
          <w:tcPr>
            <w:tcW w:w="635" w:type="pct"/>
            <w:hideMark/>
          </w:tcPr>
          <w:p w14:paraId="7AC5BA3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–0.157</w:t>
            </w:r>
          </w:p>
        </w:tc>
        <w:tc>
          <w:tcPr>
            <w:tcW w:w="637" w:type="pct"/>
            <w:hideMark/>
          </w:tcPr>
          <w:p w14:paraId="0E86D03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–0.008</w:t>
            </w:r>
          </w:p>
        </w:tc>
      </w:tr>
      <w:tr w:rsidR="00A90E13" w:rsidRPr="00A90E13" w14:paraId="6622281A" w14:textId="77777777" w:rsidTr="00D17B7B">
        <w:tc>
          <w:tcPr>
            <w:tcW w:w="1186" w:type="pct"/>
            <w:tcBorders>
              <w:bottom w:val="single" w:sz="4" w:space="0" w:color="auto"/>
            </w:tcBorders>
          </w:tcPr>
          <w:p w14:paraId="2F84192C"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tcBorders>
              <w:bottom w:val="single" w:sz="4" w:space="0" w:color="auto"/>
            </w:tcBorders>
            <w:hideMark/>
          </w:tcPr>
          <w:p w14:paraId="79C6895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(0.090)</w:t>
            </w:r>
          </w:p>
        </w:tc>
        <w:tc>
          <w:tcPr>
            <w:tcW w:w="636" w:type="pct"/>
            <w:tcBorders>
              <w:bottom w:val="single" w:sz="4" w:space="0" w:color="auto"/>
            </w:tcBorders>
            <w:hideMark/>
          </w:tcPr>
          <w:p w14:paraId="5090D9E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(0.088)</w:t>
            </w:r>
          </w:p>
        </w:tc>
        <w:tc>
          <w:tcPr>
            <w:tcW w:w="635" w:type="pct"/>
            <w:tcBorders>
              <w:bottom w:val="single" w:sz="4" w:space="0" w:color="auto"/>
            </w:tcBorders>
            <w:hideMark/>
          </w:tcPr>
          <w:p w14:paraId="60053FD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(0.096)</w:t>
            </w:r>
          </w:p>
        </w:tc>
        <w:tc>
          <w:tcPr>
            <w:tcW w:w="636" w:type="pct"/>
            <w:tcBorders>
              <w:bottom w:val="single" w:sz="4" w:space="0" w:color="auto"/>
            </w:tcBorders>
            <w:hideMark/>
          </w:tcPr>
          <w:p w14:paraId="446E5C9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(0.100)</w:t>
            </w:r>
          </w:p>
        </w:tc>
        <w:tc>
          <w:tcPr>
            <w:tcW w:w="635" w:type="pct"/>
            <w:tcBorders>
              <w:bottom w:val="single" w:sz="4" w:space="0" w:color="auto"/>
            </w:tcBorders>
            <w:hideMark/>
          </w:tcPr>
          <w:p w14:paraId="58E3E08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(0.094)</w:t>
            </w:r>
          </w:p>
        </w:tc>
        <w:tc>
          <w:tcPr>
            <w:tcW w:w="637" w:type="pct"/>
            <w:tcBorders>
              <w:bottom w:val="single" w:sz="4" w:space="0" w:color="auto"/>
            </w:tcBorders>
            <w:hideMark/>
          </w:tcPr>
          <w:p w14:paraId="39289D2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(0.098)</w:t>
            </w:r>
          </w:p>
        </w:tc>
      </w:tr>
      <w:tr w:rsidR="00A90E13" w:rsidRPr="00A90E13" w14:paraId="2E591C40" w14:textId="77777777" w:rsidTr="00D17B7B">
        <w:tc>
          <w:tcPr>
            <w:tcW w:w="5000" w:type="pct"/>
            <w:gridSpan w:val="7"/>
            <w:hideMark/>
          </w:tcPr>
          <w:p w14:paraId="4769511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Pseudo-academic pathway</w:t>
            </w:r>
          </w:p>
        </w:tc>
      </w:tr>
      <w:tr w:rsidR="00A90E13" w:rsidRPr="00A90E13" w14:paraId="30361D9A" w14:textId="77777777" w:rsidTr="00D17B7B">
        <w:tc>
          <w:tcPr>
            <w:tcW w:w="1186" w:type="pct"/>
            <w:hideMark/>
          </w:tcPr>
          <w:p w14:paraId="2B9D99DE"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Higher social background</w:t>
            </w:r>
          </w:p>
        </w:tc>
        <w:tc>
          <w:tcPr>
            <w:tcW w:w="635" w:type="pct"/>
            <w:hideMark/>
          </w:tcPr>
          <w:p w14:paraId="5824B29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0.737</w:t>
            </w:r>
            <w:r w:rsidRPr="00A90E13">
              <w:rPr>
                <w:rFonts w:eastAsiaTheme="minorEastAsia" w:cs="Times New Roman"/>
                <w:sz w:val="18"/>
                <w:szCs w:val="18"/>
                <w:vertAlign w:val="superscript"/>
                <w:lang w:val="en-US" w:eastAsia="ru-RU"/>
              </w:rPr>
              <w:t>***</w:t>
            </w:r>
          </w:p>
        </w:tc>
        <w:tc>
          <w:tcPr>
            <w:tcW w:w="636" w:type="pct"/>
            <w:hideMark/>
          </w:tcPr>
          <w:p w14:paraId="12E415A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0.767</w:t>
            </w:r>
            <w:r w:rsidRPr="00A90E13">
              <w:rPr>
                <w:rFonts w:eastAsiaTheme="minorEastAsia" w:cs="Times New Roman"/>
                <w:sz w:val="18"/>
                <w:szCs w:val="18"/>
                <w:vertAlign w:val="superscript"/>
                <w:lang w:val="en-US" w:eastAsia="ru-RU"/>
              </w:rPr>
              <w:t>***</w:t>
            </w:r>
          </w:p>
        </w:tc>
        <w:tc>
          <w:tcPr>
            <w:tcW w:w="635" w:type="pct"/>
            <w:hideMark/>
          </w:tcPr>
          <w:p w14:paraId="531ECC5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0.599</w:t>
            </w:r>
            <w:r w:rsidRPr="00A90E13">
              <w:rPr>
                <w:rFonts w:eastAsiaTheme="minorEastAsia" w:cs="Times New Roman"/>
                <w:sz w:val="18"/>
                <w:szCs w:val="18"/>
                <w:vertAlign w:val="superscript"/>
                <w:lang w:val="en-US" w:eastAsia="ru-RU"/>
              </w:rPr>
              <w:t>***</w:t>
            </w:r>
          </w:p>
        </w:tc>
        <w:tc>
          <w:tcPr>
            <w:tcW w:w="636" w:type="pct"/>
            <w:hideMark/>
          </w:tcPr>
          <w:p w14:paraId="5F91A29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0.660</w:t>
            </w:r>
            <w:r w:rsidRPr="00A90E13">
              <w:rPr>
                <w:rFonts w:eastAsiaTheme="minorEastAsia" w:cs="Times New Roman"/>
                <w:sz w:val="18"/>
                <w:szCs w:val="18"/>
                <w:vertAlign w:val="superscript"/>
                <w:lang w:val="en-US" w:eastAsia="ru-RU"/>
              </w:rPr>
              <w:t>***</w:t>
            </w:r>
          </w:p>
        </w:tc>
        <w:tc>
          <w:tcPr>
            <w:tcW w:w="635" w:type="pct"/>
            <w:hideMark/>
          </w:tcPr>
          <w:p w14:paraId="71180A5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0.646</w:t>
            </w:r>
            <w:r w:rsidRPr="00A90E13">
              <w:rPr>
                <w:rFonts w:eastAsiaTheme="minorEastAsia" w:cs="Times New Roman"/>
                <w:sz w:val="18"/>
                <w:szCs w:val="18"/>
                <w:vertAlign w:val="superscript"/>
                <w:lang w:val="en-US" w:eastAsia="ru-RU"/>
              </w:rPr>
              <w:t>***</w:t>
            </w:r>
          </w:p>
        </w:tc>
        <w:tc>
          <w:tcPr>
            <w:tcW w:w="637" w:type="pct"/>
            <w:hideMark/>
          </w:tcPr>
          <w:p w14:paraId="4250C8D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0.646</w:t>
            </w:r>
            <w:r w:rsidRPr="00A90E13">
              <w:rPr>
                <w:rFonts w:eastAsiaTheme="minorEastAsia" w:cs="Times New Roman"/>
                <w:sz w:val="18"/>
                <w:szCs w:val="18"/>
                <w:vertAlign w:val="superscript"/>
                <w:lang w:val="en-US" w:eastAsia="ru-RU"/>
              </w:rPr>
              <w:t>***</w:t>
            </w:r>
          </w:p>
        </w:tc>
      </w:tr>
      <w:tr w:rsidR="00A90E13" w:rsidRPr="00A90E13" w14:paraId="0C125EC6" w14:textId="77777777" w:rsidTr="00D17B7B">
        <w:tc>
          <w:tcPr>
            <w:tcW w:w="1186" w:type="pct"/>
          </w:tcPr>
          <w:p w14:paraId="271A5E96"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39AB587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(0.146)</w:t>
            </w:r>
          </w:p>
        </w:tc>
        <w:tc>
          <w:tcPr>
            <w:tcW w:w="636" w:type="pct"/>
            <w:hideMark/>
          </w:tcPr>
          <w:p w14:paraId="7D6D9B0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(0.145)</w:t>
            </w:r>
          </w:p>
        </w:tc>
        <w:tc>
          <w:tcPr>
            <w:tcW w:w="635" w:type="pct"/>
            <w:hideMark/>
          </w:tcPr>
          <w:p w14:paraId="70E0640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(0.152)</w:t>
            </w:r>
          </w:p>
        </w:tc>
        <w:tc>
          <w:tcPr>
            <w:tcW w:w="636" w:type="pct"/>
            <w:hideMark/>
          </w:tcPr>
          <w:p w14:paraId="6B6A6BA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(0.150)</w:t>
            </w:r>
          </w:p>
        </w:tc>
        <w:tc>
          <w:tcPr>
            <w:tcW w:w="635" w:type="pct"/>
            <w:hideMark/>
          </w:tcPr>
          <w:p w14:paraId="6CB1FE4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(0.150)</w:t>
            </w:r>
          </w:p>
        </w:tc>
        <w:tc>
          <w:tcPr>
            <w:tcW w:w="637" w:type="pct"/>
            <w:hideMark/>
          </w:tcPr>
          <w:p w14:paraId="0373C9D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(0.153)</w:t>
            </w:r>
          </w:p>
        </w:tc>
      </w:tr>
      <w:tr w:rsidR="00A90E13" w:rsidRPr="00A90E13" w14:paraId="7D96D76D" w14:textId="77777777" w:rsidTr="00D17B7B">
        <w:tc>
          <w:tcPr>
            <w:tcW w:w="1186" w:type="pct"/>
            <w:hideMark/>
          </w:tcPr>
          <w:p w14:paraId="37CA9178"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w:t>
            </w:r>
          </w:p>
        </w:tc>
        <w:tc>
          <w:tcPr>
            <w:tcW w:w="635" w:type="pct"/>
            <w:hideMark/>
          </w:tcPr>
          <w:p w14:paraId="713B83A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0.222</w:t>
            </w:r>
            <w:r w:rsidRPr="00A90E13">
              <w:rPr>
                <w:rFonts w:eastAsiaTheme="minorEastAsia" w:cs="Times New Roman"/>
                <w:sz w:val="18"/>
                <w:szCs w:val="18"/>
                <w:vertAlign w:val="superscript"/>
                <w:lang w:val="en-US" w:eastAsia="ru-RU"/>
              </w:rPr>
              <w:t>*</w:t>
            </w:r>
          </w:p>
        </w:tc>
        <w:tc>
          <w:tcPr>
            <w:tcW w:w="636" w:type="pct"/>
            <w:hideMark/>
          </w:tcPr>
          <w:p w14:paraId="1335ABE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0.111</w:t>
            </w:r>
          </w:p>
        </w:tc>
        <w:tc>
          <w:tcPr>
            <w:tcW w:w="635" w:type="pct"/>
            <w:hideMark/>
          </w:tcPr>
          <w:p w14:paraId="0D11874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0.520</w:t>
            </w:r>
            <w:r w:rsidRPr="00A90E13">
              <w:rPr>
                <w:rFonts w:eastAsiaTheme="minorEastAsia" w:cs="Times New Roman"/>
                <w:sz w:val="18"/>
                <w:szCs w:val="18"/>
                <w:vertAlign w:val="superscript"/>
                <w:lang w:val="en-US" w:eastAsia="ru-RU"/>
              </w:rPr>
              <w:t>***</w:t>
            </w:r>
          </w:p>
        </w:tc>
        <w:tc>
          <w:tcPr>
            <w:tcW w:w="636" w:type="pct"/>
            <w:hideMark/>
          </w:tcPr>
          <w:p w14:paraId="747F830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0.543</w:t>
            </w:r>
            <w:r w:rsidRPr="00A90E13">
              <w:rPr>
                <w:rFonts w:eastAsiaTheme="minorEastAsia" w:cs="Times New Roman"/>
                <w:sz w:val="18"/>
                <w:szCs w:val="18"/>
                <w:vertAlign w:val="superscript"/>
                <w:lang w:val="en-US" w:eastAsia="ru-RU"/>
              </w:rPr>
              <w:t>***</w:t>
            </w:r>
          </w:p>
        </w:tc>
        <w:tc>
          <w:tcPr>
            <w:tcW w:w="635" w:type="pct"/>
            <w:hideMark/>
          </w:tcPr>
          <w:p w14:paraId="5AD1EA3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0.415</w:t>
            </w:r>
            <w:r w:rsidRPr="00A90E13">
              <w:rPr>
                <w:rFonts w:eastAsiaTheme="minorEastAsia" w:cs="Times New Roman"/>
                <w:sz w:val="18"/>
                <w:szCs w:val="18"/>
                <w:vertAlign w:val="superscript"/>
                <w:lang w:val="en-US" w:eastAsia="ru-RU"/>
              </w:rPr>
              <w:t>***</w:t>
            </w:r>
          </w:p>
        </w:tc>
        <w:tc>
          <w:tcPr>
            <w:tcW w:w="637" w:type="pct"/>
            <w:hideMark/>
          </w:tcPr>
          <w:p w14:paraId="4213685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0.432</w:t>
            </w:r>
            <w:r w:rsidRPr="00A90E13">
              <w:rPr>
                <w:rFonts w:eastAsiaTheme="minorEastAsia" w:cs="Times New Roman"/>
                <w:sz w:val="18"/>
                <w:szCs w:val="18"/>
                <w:vertAlign w:val="superscript"/>
                <w:lang w:val="en-US" w:eastAsia="ru-RU"/>
              </w:rPr>
              <w:t>***</w:t>
            </w:r>
          </w:p>
        </w:tc>
      </w:tr>
      <w:tr w:rsidR="00A90E13" w:rsidRPr="00A90E13" w14:paraId="4B2E7299" w14:textId="77777777" w:rsidTr="00D17B7B">
        <w:tc>
          <w:tcPr>
            <w:tcW w:w="1186" w:type="pct"/>
          </w:tcPr>
          <w:p w14:paraId="1ED35A2D"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2D37214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(0.090)</w:t>
            </w:r>
          </w:p>
        </w:tc>
        <w:tc>
          <w:tcPr>
            <w:tcW w:w="636" w:type="pct"/>
            <w:hideMark/>
          </w:tcPr>
          <w:p w14:paraId="37046BB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(0.087)</w:t>
            </w:r>
          </w:p>
        </w:tc>
        <w:tc>
          <w:tcPr>
            <w:tcW w:w="635" w:type="pct"/>
            <w:hideMark/>
          </w:tcPr>
          <w:p w14:paraId="3FA5644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(0.101)</w:t>
            </w:r>
          </w:p>
        </w:tc>
        <w:tc>
          <w:tcPr>
            <w:tcW w:w="636" w:type="pct"/>
            <w:hideMark/>
          </w:tcPr>
          <w:p w14:paraId="47041FD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(0.102)</w:t>
            </w:r>
          </w:p>
        </w:tc>
        <w:tc>
          <w:tcPr>
            <w:tcW w:w="635" w:type="pct"/>
            <w:hideMark/>
          </w:tcPr>
          <w:p w14:paraId="0445D86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(0.098)</w:t>
            </w:r>
          </w:p>
        </w:tc>
        <w:tc>
          <w:tcPr>
            <w:tcW w:w="637" w:type="pct"/>
            <w:hideMark/>
          </w:tcPr>
          <w:p w14:paraId="068C308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(0.100)</w:t>
            </w:r>
          </w:p>
        </w:tc>
      </w:tr>
      <w:tr w:rsidR="00A90E13" w:rsidRPr="00A90E13" w14:paraId="5533A1DC" w14:textId="77777777" w:rsidTr="00D17B7B">
        <w:trPr>
          <w:trHeight w:val="188"/>
        </w:trPr>
        <w:tc>
          <w:tcPr>
            <w:tcW w:w="1186" w:type="pct"/>
            <w:hideMark/>
          </w:tcPr>
          <w:p w14:paraId="4FEF4354"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 x Higher social background</w:t>
            </w:r>
          </w:p>
        </w:tc>
        <w:tc>
          <w:tcPr>
            <w:tcW w:w="635" w:type="pct"/>
            <w:hideMark/>
          </w:tcPr>
          <w:p w14:paraId="28F6CF0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0.107</w:t>
            </w:r>
          </w:p>
          <w:p w14:paraId="1F6FF28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(0.149)</w:t>
            </w:r>
          </w:p>
        </w:tc>
        <w:tc>
          <w:tcPr>
            <w:tcW w:w="636" w:type="pct"/>
            <w:hideMark/>
          </w:tcPr>
          <w:p w14:paraId="24B8732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0.108</w:t>
            </w:r>
          </w:p>
          <w:p w14:paraId="53272D0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(0.144)</w:t>
            </w:r>
          </w:p>
        </w:tc>
        <w:tc>
          <w:tcPr>
            <w:tcW w:w="635" w:type="pct"/>
            <w:hideMark/>
          </w:tcPr>
          <w:p w14:paraId="20F87CA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–0.185</w:t>
            </w:r>
          </w:p>
          <w:p w14:paraId="77D200B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(0.157)</w:t>
            </w:r>
          </w:p>
        </w:tc>
        <w:tc>
          <w:tcPr>
            <w:tcW w:w="636" w:type="pct"/>
            <w:hideMark/>
          </w:tcPr>
          <w:p w14:paraId="4E71FFE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–0.226</w:t>
            </w:r>
          </w:p>
          <w:p w14:paraId="0672831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(0.155)</w:t>
            </w:r>
          </w:p>
        </w:tc>
        <w:tc>
          <w:tcPr>
            <w:tcW w:w="635" w:type="pct"/>
            <w:hideMark/>
          </w:tcPr>
          <w:p w14:paraId="721C5BE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–0.179</w:t>
            </w:r>
          </w:p>
          <w:p w14:paraId="44FE967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(0.153)</w:t>
            </w:r>
          </w:p>
        </w:tc>
        <w:tc>
          <w:tcPr>
            <w:tcW w:w="637" w:type="pct"/>
            <w:hideMark/>
          </w:tcPr>
          <w:p w14:paraId="75E0371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–0.087</w:t>
            </w:r>
          </w:p>
          <w:p w14:paraId="35AD521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(0.157)</w:t>
            </w:r>
          </w:p>
        </w:tc>
      </w:tr>
      <w:tr w:rsidR="00A90E13" w:rsidRPr="00A90E13" w14:paraId="47B12106" w14:textId="77777777" w:rsidTr="00D17B7B">
        <w:tc>
          <w:tcPr>
            <w:tcW w:w="1186" w:type="pct"/>
            <w:hideMark/>
          </w:tcPr>
          <w:p w14:paraId="38D55CC6"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Constant</w:t>
            </w:r>
          </w:p>
        </w:tc>
        <w:tc>
          <w:tcPr>
            <w:tcW w:w="635" w:type="pct"/>
            <w:hideMark/>
          </w:tcPr>
          <w:p w14:paraId="6C54E85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–2.002</w:t>
            </w:r>
            <w:r w:rsidRPr="00A90E13">
              <w:rPr>
                <w:rFonts w:eastAsiaTheme="minorEastAsia" w:cs="Times New Roman"/>
                <w:sz w:val="18"/>
                <w:szCs w:val="18"/>
                <w:vertAlign w:val="superscript"/>
                <w:lang w:val="en-US" w:eastAsia="ru-RU"/>
              </w:rPr>
              <w:t>***</w:t>
            </w:r>
          </w:p>
        </w:tc>
        <w:tc>
          <w:tcPr>
            <w:tcW w:w="636" w:type="pct"/>
            <w:hideMark/>
          </w:tcPr>
          <w:p w14:paraId="1061B48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–2.083</w:t>
            </w:r>
            <w:r w:rsidRPr="00A90E13">
              <w:rPr>
                <w:rFonts w:eastAsiaTheme="minorEastAsia" w:cs="Times New Roman"/>
                <w:sz w:val="18"/>
                <w:szCs w:val="18"/>
                <w:vertAlign w:val="superscript"/>
                <w:lang w:val="en-US" w:eastAsia="ru-RU"/>
              </w:rPr>
              <w:t>***</w:t>
            </w:r>
          </w:p>
        </w:tc>
        <w:tc>
          <w:tcPr>
            <w:tcW w:w="635" w:type="pct"/>
            <w:hideMark/>
          </w:tcPr>
          <w:p w14:paraId="0F57B35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–1.836</w:t>
            </w:r>
            <w:r w:rsidRPr="00A90E13">
              <w:rPr>
                <w:rFonts w:eastAsiaTheme="minorEastAsia" w:cs="Times New Roman"/>
                <w:sz w:val="18"/>
                <w:szCs w:val="18"/>
                <w:vertAlign w:val="superscript"/>
                <w:lang w:val="en-US" w:eastAsia="ru-RU"/>
              </w:rPr>
              <w:t>***</w:t>
            </w:r>
          </w:p>
        </w:tc>
        <w:tc>
          <w:tcPr>
            <w:tcW w:w="636" w:type="pct"/>
            <w:hideMark/>
          </w:tcPr>
          <w:p w14:paraId="328762E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–1.743</w:t>
            </w:r>
            <w:r w:rsidRPr="00A90E13">
              <w:rPr>
                <w:rFonts w:eastAsiaTheme="minorEastAsia" w:cs="Times New Roman"/>
                <w:sz w:val="18"/>
                <w:szCs w:val="18"/>
                <w:vertAlign w:val="superscript"/>
                <w:lang w:val="en-US" w:eastAsia="ru-RU"/>
              </w:rPr>
              <w:t>***</w:t>
            </w:r>
          </w:p>
        </w:tc>
        <w:tc>
          <w:tcPr>
            <w:tcW w:w="635" w:type="pct"/>
            <w:hideMark/>
          </w:tcPr>
          <w:p w14:paraId="0EE9F30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–1.906</w:t>
            </w:r>
            <w:r w:rsidRPr="00A90E13">
              <w:rPr>
                <w:rFonts w:eastAsiaTheme="minorEastAsia" w:cs="Times New Roman"/>
                <w:sz w:val="18"/>
                <w:szCs w:val="18"/>
                <w:vertAlign w:val="superscript"/>
                <w:lang w:val="en-US" w:eastAsia="ru-RU"/>
              </w:rPr>
              <w:t>***</w:t>
            </w:r>
          </w:p>
        </w:tc>
        <w:tc>
          <w:tcPr>
            <w:tcW w:w="637" w:type="pct"/>
            <w:hideMark/>
          </w:tcPr>
          <w:p w14:paraId="401D862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–1.834</w:t>
            </w:r>
            <w:r w:rsidRPr="00A90E13">
              <w:rPr>
                <w:rFonts w:eastAsiaTheme="minorEastAsia" w:cs="Times New Roman"/>
                <w:sz w:val="18"/>
                <w:szCs w:val="18"/>
                <w:vertAlign w:val="superscript"/>
                <w:lang w:val="en-US" w:eastAsia="ru-RU"/>
              </w:rPr>
              <w:t>***</w:t>
            </w:r>
          </w:p>
        </w:tc>
      </w:tr>
      <w:tr w:rsidR="00A90E13" w:rsidRPr="00A90E13" w14:paraId="6649084B" w14:textId="77777777" w:rsidTr="00D17B7B">
        <w:tc>
          <w:tcPr>
            <w:tcW w:w="1186" w:type="pct"/>
            <w:tcBorders>
              <w:bottom w:val="single" w:sz="4" w:space="0" w:color="auto"/>
            </w:tcBorders>
          </w:tcPr>
          <w:p w14:paraId="714CB141"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tcBorders>
              <w:bottom w:val="single" w:sz="4" w:space="0" w:color="auto"/>
            </w:tcBorders>
            <w:hideMark/>
          </w:tcPr>
          <w:p w14:paraId="2638EEC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(0.150)</w:t>
            </w:r>
          </w:p>
        </w:tc>
        <w:tc>
          <w:tcPr>
            <w:tcW w:w="636" w:type="pct"/>
            <w:tcBorders>
              <w:bottom w:val="single" w:sz="4" w:space="0" w:color="auto"/>
            </w:tcBorders>
            <w:hideMark/>
          </w:tcPr>
          <w:p w14:paraId="712DB60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(0.150)</w:t>
            </w:r>
          </w:p>
        </w:tc>
        <w:tc>
          <w:tcPr>
            <w:tcW w:w="635" w:type="pct"/>
            <w:tcBorders>
              <w:bottom w:val="single" w:sz="4" w:space="0" w:color="auto"/>
            </w:tcBorders>
            <w:hideMark/>
          </w:tcPr>
          <w:p w14:paraId="01AD84B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(0.154)</w:t>
            </w:r>
          </w:p>
        </w:tc>
        <w:tc>
          <w:tcPr>
            <w:tcW w:w="636" w:type="pct"/>
            <w:tcBorders>
              <w:bottom w:val="single" w:sz="4" w:space="0" w:color="auto"/>
            </w:tcBorders>
            <w:hideMark/>
          </w:tcPr>
          <w:p w14:paraId="78C9F7B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(0.160)</w:t>
            </w:r>
          </w:p>
        </w:tc>
        <w:tc>
          <w:tcPr>
            <w:tcW w:w="635" w:type="pct"/>
            <w:tcBorders>
              <w:bottom w:val="single" w:sz="4" w:space="0" w:color="auto"/>
            </w:tcBorders>
            <w:hideMark/>
          </w:tcPr>
          <w:p w14:paraId="7731E68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(0.154)</w:t>
            </w:r>
          </w:p>
        </w:tc>
        <w:tc>
          <w:tcPr>
            <w:tcW w:w="637" w:type="pct"/>
            <w:tcBorders>
              <w:bottom w:val="single" w:sz="4" w:space="0" w:color="auto"/>
            </w:tcBorders>
            <w:hideMark/>
          </w:tcPr>
          <w:p w14:paraId="5065A3C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(0.157)</w:t>
            </w:r>
          </w:p>
        </w:tc>
      </w:tr>
      <w:tr w:rsidR="00A90E13" w:rsidRPr="00A90E13" w14:paraId="3D8A2657" w14:textId="77777777" w:rsidTr="00D17B7B">
        <w:tc>
          <w:tcPr>
            <w:tcW w:w="5000" w:type="pct"/>
            <w:gridSpan w:val="7"/>
            <w:hideMark/>
          </w:tcPr>
          <w:p w14:paraId="1AD020E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Other unclassified pathways</w:t>
            </w:r>
          </w:p>
        </w:tc>
      </w:tr>
      <w:tr w:rsidR="00A90E13" w:rsidRPr="00A90E13" w14:paraId="6CD5471A" w14:textId="77777777" w:rsidTr="00D17B7B">
        <w:tc>
          <w:tcPr>
            <w:tcW w:w="1186" w:type="pct"/>
            <w:hideMark/>
          </w:tcPr>
          <w:p w14:paraId="77ED9FD5"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Higher social background</w:t>
            </w:r>
          </w:p>
        </w:tc>
        <w:tc>
          <w:tcPr>
            <w:tcW w:w="635" w:type="pct"/>
            <w:hideMark/>
          </w:tcPr>
          <w:p w14:paraId="7219B27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0.475</w:t>
            </w:r>
            <w:r w:rsidRPr="00A90E13">
              <w:rPr>
                <w:rFonts w:eastAsiaTheme="minorEastAsia" w:cs="Times New Roman"/>
                <w:sz w:val="18"/>
                <w:szCs w:val="18"/>
                <w:vertAlign w:val="superscript"/>
                <w:lang w:val="en-US" w:eastAsia="ru-RU"/>
              </w:rPr>
              <w:t>***</w:t>
            </w:r>
          </w:p>
        </w:tc>
        <w:tc>
          <w:tcPr>
            <w:tcW w:w="636" w:type="pct"/>
            <w:hideMark/>
          </w:tcPr>
          <w:p w14:paraId="5EE0D52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0.514</w:t>
            </w:r>
            <w:r w:rsidRPr="00A90E13">
              <w:rPr>
                <w:rFonts w:eastAsiaTheme="minorEastAsia" w:cs="Times New Roman"/>
                <w:sz w:val="18"/>
                <w:szCs w:val="18"/>
                <w:vertAlign w:val="superscript"/>
                <w:lang w:val="en-US" w:eastAsia="ru-RU"/>
              </w:rPr>
              <w:t>***</w:t>
            </w:r>
          </w:p>
        </w:tc>
        <w:tc>
          <w:tcPr>
            <w:tcW w:w="635" w:type="pct"/>
            <w:hideMark/>
          </w:tcPr>
          <w:p w14:paraId="725E031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0.452</w:t>
            </w:r>
            <w:r w:rsidRPr="00A90E13">
              <w:rPr>
                <w:rFonts w:eastAsiaTheme="minorEastAsia" w:cs="Times New Roman"/>
                <w:sz w:val="18"/>
                <w:szCs w:val="18"/>
                <w:vertAlign w:val="superscript"/>
                <w:lang w:val="en-US" w:eastAsia="ru-RU"/>
              </w:rPr>
              <w:t>**</w:t>
            </w:r>
          </w:p>
        </w:tc>
        <w:tc>
          <w:tcPr>
            <w:tcW w:w="636" w:type="pct"/>
            <w:hideMark/>
          </w:tcPr>
          <w:p w14:paraId="1BAAA0D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0.569</w:t>
            </w:r>
            <w:r w:rsidRPr="00A90E13">
              <w:rPr>
                <w:rFonts w:eastAsiaTheme="minorEastAsia" w:cs="Times New Roman"/>
                <w:sz w:val="18"/>
                <w:szCs w:val="18"/>
                <w:vertAlign w:val="superscript"/>
                <w:lang w:val="en-US" w:eastAsia="ru-RU"/>
              </w:rPr>
              <w:t>***</w:t>
            </w:r>
          </w:p>
        </w:tc>
        <w:tc>
          <w:tcPr>
            <w:tcW w:w="635" w:type="pct"/>
            <w:hideMark/>
          </w:tcPr>
          <w:p w14:paraId="7BE8429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0.519</w:t>
            </w:r>
            <w:r w:rsidRPr="00A90E13">
              <w:rPr>
                <w:rFonts w:eastAsiaTheme="minorEastAsia" w:cs="Times New Roman"/>
                <w:sz w:val="18"/>
                <w:szCs w:val="18"/>
                <w:vertAlign w:val="superscript"/>
                <w:lang w:val="en-US" w:eastAsia="ru-RU"/>
              </w:rPr>
              <w:t>***</w:t>
            </w:r>
          </w:p>
        </w:tc>
        <w:tc>
          <w:tcPr>
            <w:tcW w:w="637" w:type="pct"/>
            <w:hideMark/>
          </w:tcPr>
          <w:p w14:paraId="1850BFA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0.511</w:t>
            </w:r>
            <w:r w:rsidRPr="00A90E13">
              <w:rPr>
                <w:rFonts w:eastAsiaTheme="minorEastAsia" w:cs="Times New Roman"/>
                <w:sz w:val="18"/>
                <w:szCs w:val="18"/>
                <w:vertAlign w:val="superscript"/>
                <w:lang w:val="en-US" w:eastAsia="ru-RU"/>
              </w:rPr>
              <w:t>***</w:t>
            </w:r>
          </w:p>
        </w:tc>
      </w:tr>
      <w:tr w:rsidR="00A90E13" w:rsidRPr="00A90E13" w14:paraId="1C094FAF" w14:textId="77777777" w:rsidTr="00D17B7B">
        <w:tc>
          <w:tcPr>
            <w:tcW w:w="1186" w:type="pct"/>
          </w:tcPr>
          <w:p w14:paraId="4D159DB1"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514F62B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(0.135)</w:t>
            </w:r>
          </w:p>
        </w:tc>
        <w:tc>
          <w:tcPr>
            <w:tcW w:w="636" w:type="pct"/>
            <w:hideMark/>
          </w:tcPr>
          <w:p w14:paraId="6D8A26D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(0.134)</w:t>
            </w:r>
          </w:p>
        </w:tc>
        <w:tc>
          <w:tcPr>
            <w:tcW w:w="635" w:type="pct"/>
            <w:hideMark/>
          </w:tcPr>
          <w:p w14:paraId="68021B8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(0.143)</w:t>
            </w:r>
          </w:p>
        </w:tc>
        <w:tc>
          <w:tcPr>
            <w:tcW w:w="636" w:type="pct"/>
            <w:hideMark/>
          </w:tcPr>
          <w:p w14:paraId="33E777F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(0.145)</w:t>
            </w:r>
          </w:p>
        </w:tc>
        <w:tc>
          <w:tcPr>
            <w:tcW w:w="635" w:type="pct"/>
            <w:hideMark/>
          </w:tcPr>
          <w:p w14:paraId="51F1273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(0.142)</w:t>
            </w:r>
          </w:p>
        </w:tc>
        <w:tc>
          <w:tcPr>
            <w:tcW w:w="637" w:type="pct"/>
            <w:hideMark/>
          </w:tcPr>
          <w:p w14:paraId="2B7AAB4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(0.145)</w:t>
            </w:r>
          </w:p>
        </w:tc>
      </w:tr>
      <w:tr w:rsidR="00A90E13" w:rsidRPr="00A90E13" w14:paraId="01E31404" w14:textId="77777777" w:rsidTr="00D17B7B">
        <w:tc>
          <w:tcPr>
            <w:tcW w:w="1186" w:type="pct"/>
            <w:hideMark/>
          </w:tcPr>
          <w:p w14:paraId="2C42A958"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w:t>
            </w:r>
          </w:p>
        </w:tc>
        <w:tc>
          <w:tcPr>
            <w:tcW w:w="635" w:type="pct"/>
            <w:hideMark/>
          </w:tcPr>
          <w:p w14:paraId="1467545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0.329</w:t>
            </w:r>
            <w:r w:rsidRPr="00A90E13">
              <w:rPr>
                <w:rFonts w:eastAsiaTheme="minorEastAsia" w:cs="Times New Roman"/>
                <w:sz w:val="18"/>
                <w:szCs w:val="18"/>
                <w:vertAlign w:val="superscript"/>
                <w:lang w:val="en-US" w:eastAsia="ru-RU"/>
              </w:rPr>
              <w:t>***</w:t>
            </w:r>
          </w:p>
        </w:tc>
        <w:tc>
          <w:tcPr>
            <w:tcW w:w="636" w:type="pct"/>
            <w:hideMark/>
          </w:tcPr>
          <w:p w14:paraId="5B1C1A8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0.187</w:t>
            </w:r>
            <w:r w:rsidRPr="00A90E13">
              <w:rPr>
                <w:rFonts w:eastAsiaTheme="minorEastAsia" w:cs="Times New Roman"/>
                <w:sz w:val="18"/>
                <w:szCs w:val="18"/>
                <w:vertAlign w:val="superscript"/>
                <w:lang w:val="en-US" w:eastAsia="ru-RU"/>
              </w:rPr>
              <w:t>*</w:t>
            </w:r>
          </w:p>
        </w:tc>
        <w:tc>
          <w:tcPr>
            <w:tcW w:w="635" w:type="pct"/>
            <w:hideMark/>
          </w:tcPr>
          <w:p w14:paraId="60325CF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0.463</w:t>
            </w:r>
            <w:r w:rsidRPr="00A90E13">
              <w:rPr>
                <w:rFonts w:eastAsiaTheme="minorEastAsia" w:cs="Times New Roman"/>
                <w:sz w:val="18"/>
                <w:szCs w:val="18"/>
                <w:vertAlign w:val="superscript"/>
                <w:lang w:val="en-US" w:eastAsia="ru-RU"/>
              </w:rPr>
              <w:t>***</w:t>
            </w:r>
          </w:p>
        </w:tc>
        <w:tc>
          <w:tcPr>
            <w:tcW w:w="636" w:type="pct"/>
            <w:hideMark/>
          </w:tcPr>
          <w:p w14:paraId="0726861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0.241</w:t>
            </w:r>
            <w:r w:rsidRPr="00A90E13">
              <w:rPr>
                <w:rFonts w:eastAsiaTheme="minorEastAsia" w:cs="Times New Roman"/>
                <w:sz w:val="18"/>
                <w:szCs w:val="18"/>
                <w:vertAlign w:val="superscript"/>
                <w:lang w:val="en-US" w:eastAsia="ru-RU"/>
              </w:rPr>
              <w:t>**</w:t>
            </w:r>
          </w:p>
        </w:tc>
        <w:tc>
          <w:tcPr>
            <w:tcW w:w="635" w:type="pct"/>
            <w:hideMark/>
          </w:tcPr>
          <w:p w14:paraId="6BF2157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0.273</w:t>
            </w:r>
            <w:r w:rsidRPr="00A90E13">
              <w:rPr>
                <w:rFonts w:eastAsiaTheme="minorEastAsia" w:cs="Times New Roman"/>
                <w:sz w:val="18"/>
                <w:szCs w:val="18"/>
                <w:vertAlign w:val="superscript"/>
                <w:lang w:val="en-US" w:eastAsia="ru-RU"/>
              </w:rPr>
              <w:t>**</w:t>
            </w:r>
          </w:p>
        </w:tc>
        <w:tc>
          <w:tcPr>
            <w:tcW w:w="637" w:type="pct"/>
            <w:hideMark/>
          </w:tcPr>
          <w:p w14:paraId="412D4CA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0.351</w:t>
            </w:r>
            <w:r w:rsidRPr="00A90E13">
              <w:rPr>
                <w:rFonts w:eastAsiaTheme="minorEastAsia" w:cs="Times New Roman"/>
                <w:sz w:val="18"/>
                <w:szCs w:val="18"/>
                <w:vertAlign w:val="superscript"/>
                <w:lang w:val="en-US" w:eastAsia="ru-RU"/>
              </w:rPr>
              <w:t>***</w:t>
            </w:r>
          </w:p>
        </w:tc>
      </w:tr>
      <w:tr w:rsidR="00A90E13" w:rsidRPr="00A90E13" w14:paraId="04BCE10B" w14:textId="77777777" w:rsidTr="00D17B7B">
        <w:tc>
          <w:tcPr>
            <w:tcW w:w="1186" w:type="pct"/>
          </w:tcPr>
          <w:p w14:paraId="7F839366"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75BAA7D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(0.077)</w:t>
            </w:r>
          </w:p>
        </w:tc>
        <w:tc>
          <w:tcPr>
            <w:tcW w:w="636" w:type="pct"/>
            <w:hideMark/>
          </w:tcPr>
          <w:p w14:paraId="14C6CB2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(0.074)</w:t>
            </w:r>
          </w:p>
        </w:tc>
        <w:tc>
          <w:tcPr>
            <w:tcW w:w="635" w:type="pct"/>
            <w:hideMark/>
          </w:tcPr>
          <w:p w14:paraId="296BCF5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(0.088)</w:t>
            </w:r>
          </w:p>
        </w:tc>
        <w:tc>
          <w:tcPr>
            <w:tcW w:w="636" w:type="pct"/>
            <w:hideMark/>
          </w:tcPr>
          <w:p w14:paraId="27FD027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(0.087)</w:t>
            </w:r>
          </w:p>
        </w:tc>
        <w:tc>
          <w:tcPr>
            <w:tcW w:w="635" w:type="pct"/>
            <w:hideMark/>
          </w:tcPr>
          <w:p w14:paraId="3055216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(0.085)</w:t>
            </w:r>
          </w:p>
        </w:tc>
        <w:tc>
          <w:tcPr>
            <w:tcW w:w="637" w:type="pct"/>
            <w:hideMark/>
          </w:tcPr>
          <w:p w14:paraId="4CEEEB1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(0.087)</w:t>
            </w:r>
          </w:p>
        </w:tc>
      </w:tr>
      <w:tr w:rsidR="00A90E13" w:rsidRPr="00A90E13" w14:paraId="3275BFE7" w14:textId="77777777" w:rsidTr="00D17B7B">
        <w:trPr>
          <w:trHeight w:val="292"/>
        </w:trPr>
        <w:tc>
          <w:tcPr>
            <w:tcW w:w="1186" w:type="pct"/>
            <w:hideMark/>
          </w:tcPr>
          <w:p w14:paraId="5D120BC1"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 x Higher social background</w:t>
            </w:r>
          </w:p>
        </w:tc>
        <w:tc>
          <w:tcPr>
            <w:tcW w:w="635" w:type="pct"/>
            <w:hideMark/>
          </w:tcPr>
          <w:p w14:paraId="1859E42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0.136</w:t>
            </w:r>
          </w:p>
          <w:p w14:paraId="4B91608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(0.138)</w:t>
            </w:r>
          </w:p>
        </w:tc>
        <w:tc>
          <w:tcPr>
            <w:tcW w:w="636" w:type="pct"/>
            <w:hideMark/>
          </w:tcPr>
          <w:p w14:paraId="233066F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0.265</w:t>
            </w:r>
            <w:r w:rsidRPr="00A90E13">
              <w:rPr>
                <w:rFonts w:eastAsiaTheme="minorEastAsia" w:cs="Times New Roman"/>
                <w:sz w:val="18"/>
                <w:szCs w:val="18"/>
                <w:vertAlign w:val="superscript"/>
                <w:lang w:val="en-US" w:eastAsia="ru-RU"/>
              </w:rPr>
              <w:t>*</w:t>
            </w:r>
          </w:p>
          <w:p w14:paraId="12EB08B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(0.135)</w:t>
            </w:r>
          </w:p>
        </w:tc>
        <w:tc>
          <w:tcPr>
            <w:tcW w:w="635" w:type="pct"/>
            <w:hideMark/>
          </w:tcPr>
          <w:p w14:paraId="5DBA3F6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0.121</w:t>
            </w:r>
          </w:p>
          <w:p w14:paraId="4D1F33F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(0.147)</w:t>
            </w:r>
          </w:p>
        </w:tc>
        <w:tc>
          <w:tcPr>
            <w:tcW w:w="636" w:type="pct"/>
            <w:hideMark/>
          </w:tcPr>
          <w:p w14:paraId="4119C45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0.230</w:t>
            </w:r>
          </w:p>
          <w:p w14:paraId="148DA16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(0.144)</w:t>
            </w:r>
          </w:p>
        </w:tc>
        <w:tc>
          <w:tcPr>
            <w:tcW w:w="635" w:type="pct"/>
            <w:hideMark/>
          </w:tcPr>
          <w:p w14:paraId="1876EDC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0.170</w:t>
            </w:r>
          </w:p>
          <w:p w14:paraId="258CA59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(0.143)</w:t>
            </w:r>
          </w:p>
        </w:tc>
        <w:tc>
          <w:tcPr>
            <w:tcW w:w="637" w:type="pct"/>
            <w:hideMark/>
          </w:tcPr>
          <w:p w14:paraId="1FB9517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0.229</w:t>
            </w:r>
          </w:p>
          <w:p w14:paraId="23774A9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(0.147)</w:t>
            </w:r>
          </w:p>
        </w:tc>
      </w:tr>
      <w:tr w:rsidR="00A90E13" w:rsidRPr="00A90E13" w14:paraId="7866BCB1" w14:textId="77777777" w:rsidTr="00D17B7B">
        <w:tc>
          <w:tcPr>
            <w:tcW w:w="1186" w:type="pct"/>
            <w:hideMark/>
          </w:tcPr>
          <w:p w14:paraId="6A4FBF1B"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Constant</w:t>
            </w:r>
          </w:p>
        </w:tc>
        <w:tc>
          <w:tcPr>
            <w:tcW w:w="635" w:type="pct"/>
            <w:hideMark/>
          </w:tcPr>
          <w:p w14:paraId="106365D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–0.650</w:t>
            </w:r>
            <w:r w:rsidRPr="00A90E13">
              <w:rPr>
                <w:rFonts w:eastAsiaTheme="minorEastAsia" w:cs="Times New Roman"/>
                <w:sz w:val="18"/>
                <w:szCs w:val="18"/>
                <w:vertAlign w:val="superscript"/>
                <w:lang w:val="en-US" w:eastAsia="ru-RU"/>
              </w:rPr>
              <w:t>***</w:t>
            </w:r>
          </w:p>
        </w:tc>
        <w:tc>
          <w:tcPr>
            <w:tcW w:w="636" w:type="pct"/>
            <w:hideMark/>
          </w:tcPr>
          <w:p w14:paraId="5047E78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–0.735</w:t>
            </w:r>
            <w:r w:rsidRPr="00A90E13">
              <w:rPr>
                <w:rFonts w:eastAsiaTheme="minorEastAsia" w:cs="Times New Roman"/>
                <w:sz w:val="18"/>
                <w:szCs w:val="18"/>
                <w:vertAlign w:val="superscript"/>
                <w:lang w:val="en-US" w:eastAsia="ru-RU"/>
              </w:rPr>
              <w:t>***</w:t>
            </w:r>
          </w:p>
        </w:tc>
        <w:tc>
          <w:tcPr>
            <w:tcW w:w="635" w:type="pct"/>
            <w:hideMark/>
          </w:tcPr>
          <w:p w14:paraId="718A769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–0.589</w:t>
            </w:r>
            <w:r w:rsidRPr="00A90E13">
              <w:rPr>
                <w:rFonts w:eastAsiaTheme="minorEastAsia" w:cs="Times New Roman"/>
                <w:sz w:val="18"/>
                <w:szCs w:val="18"/>
                <w:vertAlign w:val="superscript"/>
                <w:lang w:val="en-US" w:eastAsia="ru-RU"/>
              </w:rPr>
              <w:t>***</w:t>
            </w:r>
          </w:p>
        </w:tc>
        <w:tc>
          <w:tcPr>
            <w:tcW w:w="636" w:type="pct"/>
            <w:hideMark/>
          </w:tcPr>
          <w:p w14:paraId="67F385E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–0.602</w:t>
            </w:r>
            <w:r w:rsidRPr="00A90E13">
              <w:rPr>
                <w:rFonts w:eastAsiaTheme="minorEastAsia" w:cs="Times New Roman"/>
                <w:sz w:val="18"/>
                <w:szCs w:val="18"/>
                <w:vertAlign w:val="superscript"/>
                <w:lang w:val="en-US" w:eastAsia="ru-RU"/>
              </w:rPr>
              <w:t>***</w:t>
            </w:r>
          </w:p>
        </w:tc>
        <w:tc>
          <w:tcPr>
            <w:tcW w:w="635" w:type="pct"/>
            <w:hideMark/>
          </w:tcPr>
          <w:p w14:paraId="0465822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–0.680</w:t>
            </w:r>
            <w:r w:rsidRPr="00A90E13">
              <w:rPr>
                <w:rFonts w:eastAsiaTheme="minorEastAsia" w:cs="Times New Roman"/>
                <w:sz w:val="18"/>
                <w:szCs w:val="18"/>
                <w:vertAlign w:val="superscript"/>
                <w:lang w:val="en-US" w:eastAsia="ru-RU"/>
              </w:rPr>
              <w:t>***</w:t>
            </w:r>
          </w:p>
        </w:tc>
        <w:tc>
          <w:tcPr>
            <w:tcW w:w="637" w:type="pct"/>
            <w:hideMark/>
          </w:tcPr>
          <w:p w14:paraId="453E0C3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–0.591</w:t>
            </w:r>
            <w:r w:rsidRPr="00A90E13">
              <w:rPr>
                <w:rFonts w:eastAsiaTheme="minorEastAsia" w:cs="Times New Roman"/>
                <w:sz w:val="18"/>
                <w:szCs w:val="18"/>
                <w:vertAlign w:val="superscript"/>
                <w:lang w:val="en-US" w:eastAsia="ru-RU"/>
              </w:rPr>
              <w:t>***</w:t>
            </w:r>
          </w:p>
        </w:tc>
      </w:tr>
      <w:tr w:rsidR="00A90E13" w:rsidRPr="00A90E13" w14:paraId="0BF3F19B" w14:textId="77777777" w:rsidTr="00D17B7B">
        <w:tc>
          <w:tcPr>
            <w:tcW w:w="1186" w:type="pct"/>
            <w:tcBorders>
              <w:bottom w:val="single" w:sz="4" w:space="0" w:color="auto"/>
            </w:tcBorders>
          </w:tcPr>
          <w:p w14:paraId="1861CD09"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tcBorders>
              <w:bottom w:val="single" w:sz="4" w:space="0" w:color="auto"/>
            </w:tcBorders>
            <w:hideMark/>
          </w:tcPr>
          <w:p w14:paraId="7B0399F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(0.110)</w:t>
            </w:r>
          </w:p>
        </w:tc>
        <w:tc>
          <w:tcPr>
            <w:tcW w:w="636" w:type="pct"/>
            <w:tcBorders>
              <w:bottom w:val="single" w:sz="4" w:space="0" w:color="auto"/>
            </w:tcBorders>
            <w:hideMark/>
          </w:tcPr>
          <w:p w14:paraId="5436DF2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(0.108)</w:t>
            </w:r>
          </w:p>
        </w:tc>
        <w:tc>
          <w:tcPr>
            <w:tcW w:w="635" w:type="pct"/>
            <w:tcBorders>
              <w:bottom w:val="single" w:sz="4" w:space="0" w:color="auto"/>
            </w:tcBorders>
            <w:hideMark/>
          </w:tcPr>
          <w:p w14:paraId="581B415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(0.116)</w:t>
            </w:r>
          </w:p>
        </w:tc>
        <w:tc>
          <w:tcPr>
            <w:tcW w:w="636" w:type="pct"/>
            <w:tcBorders>
              <w:bottom w:val="single" w:sz="4" w:space="0" w:color="auto"/>
            </w:tcBorders>
            <w:hideMark/>
          </w:tcPr>
          <w:p w14:paraId="28A5A71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(0.126)</w:t>
            </w:r>
          </w:p>
        </w:tc>
        <w:tc>
          <w:tcPr>
            <w:tcW w:w="635" w:type="pct"/>
            <w:tcBorders>
              <w:bottom w:val="single" w:sz="4" w:space="0" w:color="auto"/>
            </w:tcBorders>
            <w:hideMark/>
          </w:tcPr>
          <w:p w14:paraId="76077E4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(0.116)</w:t>
            </w:r>
          </w:p>
        </w:tc>
        <w:tc>
          <w:tcPr>
            <w:tcW w:w="637" w:type="pct"/>
            <w:tcBorders>
              <w:bottom w:val="single" w:sz="4" w:space="0" w:color="auto"/>
            </w:tcBorders>
            <w:hideMark/>
          </w:tcPr>
          <w:p w14:paraId="18839B9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(0.120)</w:t>
            </w:r>
          </w:p>
        </w:tc>
      </w:tr>
      <w:tr w:rsidR="00A90E13" w:rsidRPr="00256D32" w14:paraId="167C66F6" w14:textId="77777777" w:rsidTr="00D17B7B">
        <w:tc>
          <w:tcPr>
            <w:tcW w:w="5000" w:type="pct"/>
            <w:gridSpan w:val="7"/>
            <w:hideMark/>
          </w:tcPr>
          <w:p w14:paraId="2888785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Case missing in NP Wave 5</w:t>
            </w:r>
          </w:p>
        </w:tc>
      </w:tr>
      <w:tr w:rsidR="00A90E13" w:rsidRPr="00A90E13" w14:paraId="00B74523" w14:textId="77777777" w:rsidTr="00D17B7B">
        <w:tc>
          <w:tcPr>
            <w:tcW w:w="1186" w:type="pct"/>
            <w:hideMark/>
          </w:tcPr>
          <w:p w14:paraId="3D86B34C"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Higher social background</w:t>
            </w:r>
          </w:p>
        </w:tc>
        <w:tc>
          <w:tcPr>
            <w:tcW w:w="635" w:type="pct"/>
            <w:hideMark/>
          </w:tcPr>
          <w:p w14:paraId="739952D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0.783</w:t>
            </w:r>
            <w:r w:rsidRPr="00A90E13">
              <w:rPr>
                <w:rFonts w:eastAsiaTheme="minorEastAsia" w:cs="Times New Roman"/>
                <w:sz w:val="18"/>
                <w:szCs w:val="18"/>
                <w:vertAlign w:val="superscript"/>
                <w:lang w:val="en-US" w:eastAsia="ru-RU"/>
              </w:rPr>
              <w:t>***</w:t>
            </w:r>
          </w:p>
        </w:tc>
        <w:tc>
          <w:tcPr>
            <w:tcW w:w="636" w:type="pct"/>
            <w:hideMark/>
          </w:tcPr>
          <w:p w14:paraId="5C0BA89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0.796</w:t>
            </w:r>
            <w:r w:rsidRPr="00A90E13">
              <w:rPr>
                <w:rFonts w:eastAsiaTheme="minorEastAsia" w:cs="Times New Roman"/>
                <w:sz w:val="18"/>
                <w:szCs w:val="18"/>
                <w:vertAlign w:val="superscript"/>
                <w:lang w:val="en-US" w:eastAsia="ru-RU"/>
              </w:rPr>
              <w:t>***</w:t>
            </w:r>
          </w:p>
        </w:tc>
        <w:tc>
          <w:tcPr>
            <w:tcW w:w="635" w:type="pct"/>
            <w:hideMark/>
          </w:tcPr>
          <w:p w14:paraId="46509D2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0.643</w:t>
            </w:r>
            <w:r w:rsidRPr="00A90E13">
              <w:rPr>
                <w:rFonts w:eastAsiaTheme="minorEastAsia" w:cs="Times New Roman"/>
                <w:sz w:val="18"/>
                <w:szCs w:val="18"/>
                <w:vertAlign w:val="superscript"/>
                <w:lang w:val="en-US" w:eastAsia="ru-RU"/>
              </w:rPr>
              <w:t>***</w:t>
            </w:r>
          </w:p>
        </w:tc>
        <w:tc>
          <w:tcPr>
            <w:tcW w:w="636" w:type="pct"/>
            <w:hideMark/>
          </w:tcPr>
          <w:p w14:paraId="1DAA90C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0.733</w:t>
            </w:r>
            <w:r w:rsidRPr="00A90E13">
              <w:rPr>
                <w:rFonts w:eastAsiaTheme="minorEastAsia" w:cs="Times New Roman"/>
                <w:sz w:val="18"/>
                <w:szCs w:val="18"/>
                <w:vertAlign w:val="superscript"/>
                <w:lang w:val="en-US" w:eastAsia="ru-RU"/>
              </w:rPr>
              <w:t>***</w:t>
            </w:r>
          </w:p>
        </w:tc>
        <w:tc>
          <w:tcPr>
            <w:tcW w:w="635" w:type="pct"/>
            <w:hideMark/>
          </w:tcPr>
          <w:p w14:paraId="3380FC6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0.700</w:t>
            </w:r>
            <w:r w:rsidRPr="00A90E13">
              <w:rPr>
                <w:rFonts w:eastAsiaTheme="minorEastAsia" w:cs="Times New Roman"/>
                <w:sz w:val="18"/>
                <w:szCs w:val="18"/>
                <w:vertAlign w:val="superscript"/>
                <w:lang w:val="en-US" w:eastAsia="ru-RU"/>
              </w:rPr>
              <w:t>***</w:t>
            </w:r>
          </w:p>
        </w:tc>
        <w:tc>
          <w:tcPr>
            <w:tcW w:w="637" w:type="pct"/>
            <w:hideMark/>
          </w:tcPr>
          <w:p w14:paraId="7660F58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0.693</w:t>
            </w:r>
            <w:r w:rsidRPr="00A90E13">
              <w:rPr>
                <w:rFonts w:eastAsiaTheme="minorEastAsia" w:cs="Times New Roman"/>
                <w:sz w:val="18"/>
                <w:szCs w:val="18"/>
                <w:vertAlign w:val="superscript"/>
                <w:lang w:val="en-US" w:eastAsia="ru-RU"/>
              </w:rPr>
              <w:t>***</w:t>
            </w:r>
          </w:p>
        </w:tc>
      </w:tr>
      <w:tr w:rsidR="00A90E13" w:rsidRPr="00A90E13" w14:paraId="3BECBE2F" w14:textId="77777777" w:rsidTr="00D17B7B">
        <w:tc>
          <w:tcPr>
            <w:tcW w:w="1186" w:type="pct"/>
          </w:tcPr>
          <w:p w14:paraId="11E3F927"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71DA11C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(0.112)</w:t>
            </w:r>
          </w:p>
        </w:tc>
        <w:tc>
          <w:tcPr>
            <w:tcW w:w="636" w:type="pct"/>
            <w:hideMark/>
          </w:tcPr>
          <w:p w14:paraId="55E9D98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(0.109)</w:t>
            </w:r>
          </w:p>
        </w:tc>
        <w:tc>
          <w:tcPr>
            <w:tcW w:w="635" w:type="pct"/>
            <w:hideMark/>
          </w:tcPr>
          <w:p w14:paraId="0749D48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(0.121)</w:t>
            </w:r>
          </w:p>
        </w:tc>
        <w:tc>
          <w:tcPr>
            <w:tcW w:w="636" w:type="pct"/>
            <w:hideMark/>
          </w:tcPr>
          <w:p w14:paraId="3669F38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(0.122)</w:t>
            </w:r>
          </w:p>
        </w:tc>
        <w:tc>
          <w:tcPr>
            <w:tcW w:w="635" w:type="pct"/>
            <w:hideMark/>
          </w:tcPr>
          <w:p w14:paraId="19B0C21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(0.119)</w:t>
            </w:r>
          </w:p>
        </w:tc>
        <w:tc>
          <w:tcPr>
            <w:tcW w:w="637" w:type="pct"/>
            <w:hideMark/>
          </w:tcPr>
          <w:p w14:paraId="2D128E6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(0.122)</w:t>
            </w:r>
          </w:p>
        </w:tc>
      </w:tr>
      <w:tr w:rsidR="00A90E13" w:rsidRPr="00A90E13" w14:paraId="46F99CC8" w14:textId="77777777" w:rsidTr="00D17B7B">
        <w:tc>
          <w:tcPr>
            <w:tcW w:w="1186" w:type="pct"/>
            <w:hideMark/>
          </w:tcPr>
          <w:p w14:paraId="0448EB97"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w:t>
            </w:r>
          </w:p>
        </w:tc>
        <w:tc>
          <w:tcPr>
            <w:tcW w:w="635" w:type="pct"/>
            <w:hideMark/>
          </w:tcPr>
          <w:p w14:paraId="7C82C38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0.188</w:t>
            </w:r>
            <w:r w:rsidRPr="00A90E13">
              <w:rPr>
                <w:rFonts w:eastAsiaTheme="minorEastAsia" w:cs="Times New Roman"/>
                <w:sz w:val="18"/>
                <w:szCs w:val="18"/>
                <w:vertAlign w:val="superscript"/>
                <w:lang w:val="en-US" w:eastAsia="ru-RU"/>
              </w:rPr>
              <w:t>**</w:t>
            </w:r>
          </w:p>
        </w:tc>
        <w:tc>
          <w:tcPr>
            <w:tcW w:w="636" w:type="pct"/>
            <w:hideMark/>
          </w:tcPr>
          <w:p w14:paraId="3F93799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0.119</w:t>
            </w:r>
          </w:p>
        </w:tc>
        <w:tc>
          <w:tcPr>
            <w:tcW w:w="635" w:type="pct"/>
            <w:hideMark/>
          </w:tcPr>
          <w:p w14:paraId="17AD740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0.355</w:t>
            </w:r>
            <w:r w:rsidRPr="00A90E13">
              <w:rPr>
                <w:rFonts w:eastAsiaTheme="minorEastAsia" w:cs="Times New Roman"/>
                <w:sz w:val="18"/>
                <w:szCs w:val="18"/>
                <w:vertAlign w:val="superscript"/>
                <w:lang w:val="en-US" w:eastAsia="ru-RU"/>
              </w:rPr>
              <w:t>***</w:t>
            </w:r>
          </w:p>
        </w:tc>
        <w:tc>
          <w:tcPr>
            <w:tcW w:w="636" w:type="pct"/>
            <w:hideMark/>
          </w:tcPr>
          <w:p w14:paraId="7447D00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0.222</w:t>
            </w:r>
            <w:r w:rsidRPr="00A90E13">
              <w:rPr>
                <w:rFonts w:eastAsiaTheme="minorEastAsia" w:cs="Times New Roman"/>
                <w:sz w:val="18"/>
                <w:szCs w:val="18"/>
                <w:vertAlign w:val="superscript"/>
                <w:lang w:val="en-US" w:eastAsia="ru-RU"/>
              </w:rPr>
              <w:t>**</w:t>
            </w:r>
          </w:p>
        </w:tc>
        <w:tc>
          <w:tcPr>
            <w:tcW w:w="635" w:type="pct"/>
            <w:hideMark/>
          </w:tcPr>
          <w:p w14:paraId="0205A1C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0.206</w:t>
            </w:r>
            <w:r w:rsidRPr="00A90E13">
              <w:rPr>
                <w:rFonts w:eastAsiaTheme="minorEastAsia" w:cs="Times New Roman"/>
                <w:sz w:val="18"/>
                <w:szCs w:val="18"/>
                <w:vertAlign w:val="superscript"/>
                <w:lang w:val="en-US" w:eastAsia="ru-RU"/>
              </w:rPr>
              <w:t>**</w:t>
            </w:r>
          </w:p>
        </w:tc>
        <w:tc>
          <w:tcPr>
            <w:tcW w:w="637" w:type="pct"/>
            <w:hideMark/>
          </w:tcPr>
          <w:p w14:paraId="2D1CDA9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0.279</w:t>
            </w:r>
            <w:r w:rsidRPr="00A90E13">
              <w:rPr>
                <w:rFonts w:eastAsiaTheme="minorEastAsia" w:cs="Times New Roman"/>
                <w:sz w:val="18"/>
                <w:szCs w:val="18"/>
                <w:vertAlign w:val="superscript"/>
                <w:lang w:val="en-US" w:eastAsia="ru-RU"/>
              </w:rPr>
              <w:t>***</w:t>
            </w:r>
          </w:p>
        </w:tc>
      </w:tr>
      <w:tr w:rsidR="00A90E13" w:rsidRPr="00A90E13" w14:paraId="1A96A25A" w14:textId="77777777" w:rsidTr="00D17B7B">
        <w:tc>
          <w:tcPr>
            <w:tcW w:w="1186" w:type="pct"/>
          </w:tcPr>
          <w:p w14:paraId="710086A9"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hideMark/>
          </w:tcPr>
          <w:p w14:paraId="3C3AF1B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(0.063)</w:t>
            </w:r>
          </w:p>
        </w:tc>
        <w:tc>
          <w:tcPr>
            <w:tcW w:w="636" w:type="pct"/>
            <w:hideMark/>
          </w:tcPr>
          <w:p w14:paraId="3C57B7B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(0.061)</w:t>
            </w:r>
          </w:p>
        </w:tc>
        <w:tc>
          <w:tcPr>
            <w:tcW w:w="635" w:type="pct"/>
            <w:hideMark/>
          </w:tcPr>
          <w:p w14:paraId="0C30F20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(0.074)</w:t>
            </w:r>
          </w:p>
        </w:tc>
        <w:tc>
          <w:tcPr>
            <w:tcW w:w="636" w:type="pct"/>
            <w:hideMark/>
          </w:tcPr>
          <w:p w14:paraId="4CC2CA7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(0.073)</w:t>
            </w:r>
          </w:p>
        </w:tc>
        <w:tc>
          <w:tcPr>
            <w:tcW w:w="635" w:type="pct"/>
            <w:hideMark/>
          </w:tcPr>
          <w:p w14:paraId="67DF219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(0.071)</w:t>
            </w:r>
          </w:p>
        </w:tc>
        <w:tc>
          <w:tcPr>
            <w:tcW w:w="637" w:type="pct"/>
            <w:hideMark/>
          </w:tcPr>
          <w:p w14:paraId="76183AD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(0.073)</w:t>
            </w:r>
          </w:p>
        </w:tc>
      </w:tr>
      <w:tr w:rsidR="00A90E13" w:rsidRPr="00A90E13" w14:paraId="101DCBAA" w14:textId="77777777" w:rsidTr="00D17B7B">
        <w:trPr>
          <w:trHeight w:val="112"/>
        </w:trPr>
        <w:tc>
          <w:tcPr>
            <w:tcW w:w="1186" w:type="pct"/>
            <w:hideMark/>
          </w:tcPr>
          <w:p w14:paraId="1FDF126A"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Ability measure x Higher social background</w:t>
            </w:r>
          </w:p>
        </w:tc>
        <w:tc>
          <w:tcPr>
            <w:tcW w:w="635" w:type="pct"/>
            <w:hideMark/>
          </w:tcPr>
          <w:p w14:paraId="4BD23D6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0.332</w:t>
            </w:r>
            <w:r w:rsidRPr="00A90E13">
              <w:rPr>
                <w:rFonts w:eastAsiaTheme="minorEastAsia" w:cs="Times New Roman"/>
                <w:sz w:val="18"/>
                <w:szCs w:val="18"/>
                <w:vertAlign w:val="superscript"/>
                <w:lang w:val="en-US" w:eastAsia="ru-RU"/>
              </w:rPr>
              <w:t>**</w:t>
            </w:r>
          </w:p>
          <w:p w14:paraId="5B8B856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(0.113)</w:t>
            </w:r>
          </w:p>
        </w:tc>
        <w:tc>
          <w:tcPr>
            <w:tcW w:w="636" w:type="pct"/>
            <w:hideMark/>
          </w:tcPr>
          <w:p w14:paraId="128944C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0.331</w:t>
            </w:r>
            <w:r w:rsidRPr="00A90E13">
              <w:rPr>
                <w:rFonts w:eastAsiaTheme="minorEastAsia" w:cs="Times New Roman"/>
                <w:sz w:val="18"/>
                <w:szCs w:val="18"/>
                <w:vertAlign w:val="superscript"/>
                <w:lang w:val="en-US" w:eastAsia="ru-RU"/>
              </w:rPr>
              <w:t>**</w:t>
            </w:r>
          </w:p>
          <w:p w14:paraId="371FDB3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(0.109)</w:t>
            </w:r>
          </w:p>
        </w:tc>
        <w:tc>
          <w:tcPr>
            <w:tcW w:w="635" w:type="pct"/>
            <w:hideMark/>
          </w:tcPr>
          <w:p w14:paraId="5C296F7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0.260</w:t>
            </w:r>
            <w:r w:rsidRPr="00A90E13">
              <w:rPr>
                <w:rFonts w:eastAsiaTheme="minorEastAsia" w:cs="Times New Roman"/>
                <w:sz w:val="18"/>
                <w:szCs w:val="18"/>
                <w:vertAlign w:val="superscript"/>
                <w:lang w:val="en-US" w:eastAsia="ru-RU"/>
              </w:rPr>
              <w:t>*</w:t>
            </w:r>
          </w:p>
          <w:p w14:paraId="3CA5578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(0.122)</w:t>
            </w:r>
          </w:p>
        </w:tc>
        <w:tc>
          <w:tcPr>
            <w:tcW w:w="636" w:type="pct"/>
            <w:hideMark/>
          </w:tcPr>
          <w:p w14:paraId="2E1BE48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0.391</w:t>
            </w:r>
            <w:r w:rsidRPr="00A90E13">
              <w:rPr>
                <w:rFonts w:eastAsiaTheme="minorEastAsia" w:cs="Times New Roman"/>
                <w:sz w:val="18"/>
                <w:szCs w:val="18"/>
                <w:vertAlign w:val="superscript"/>
                <w:lang w:val="en-US" w:eastAsia="ru-RU"/>
              </w:rPr>
              <w:t>**</w:t>
            </w:r>
          </w:p>
          <w:p w14:paraId="7F1C07D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(0.120)</w:t>
            </w:r>
          </w:p>
        </w:tc>
        <w:tc>
          <w:tcPr>
            <w:tcW w:w="635" w:type="pct"/>
            <w:hideMark/>
          </w:tcPr>
          <w:p w14:paraId="7166487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0.315</w:t>
            </w:r>
            <w:r w:rsidRPr="00A90E13">
              <w:rPr>
                <w:rFonts w:eastAsiaTheme="minorEastAsia" w:cs="Times New Roman"/>
                <w:sz w:val="18"/>
                <w:szCs w:val="18"/>
                <w:vertAlign w:val="superscript"/>
                <w:lang w:val="en-US" w:eastAsia="ru-RU"/>
              </w:rPr>
              <w:t>**</w:t>
            </w:r>
          </w:p>
          <w:p w14:paraId="7BF6798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(0.119)</w:t>
            </w:r>
          </w:p>
        </w:tc>
        <w:tc>
          <w:tcPr>
            <w:tcW w:w="637" w:type="pct"/>
            <w:hideMark/>
          </w:tcPr>
          <w:p w14:paraId="39A240A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0.350</w:t>
            </w:r>
            <w:r w:rsidRPr="00A90E13">
              <w:rPr>
                <w:rFonts w:eastAsiaTheme="minorEastAsia" w:cs="Times New Roman"/>
                <w:sz w:val="18"/>
                <w:szCs w:val="18"/>
                <w:vertAlign w:val="superscript"/>
                <w:lang w:val="en-US" w:eastAsia="ru-RU"/>
              </w:rPr>
              <w:t>**</w:t>
            </w:r>
          </w:p>
          <w:p w14:paraId="20985C6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(0.123)</w:t>
            </w:r>
          </w:p>
        </w:tc>
      </w:tr>
      <w:tr w:rsidR="00A90E13" w:rsidRPr="00A90E13" w14:paraId="06624261" w14:textId="77777777" w:rsidTr="00D17B7B">
        <w:tc>
          <w:tcPr>
            <w:tcW w:w="1186" w:type="pct"/>
            <w:hideMark/>
          </w:tcPr>
          <w:p w14:paraId="621AEFFA"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Constant</w:t>
            </w:r>
          </w:p>
        </w:tc>
        <w:tc>
          <w:tcPr>
            <w:tcW w:w="635" w:type="pct"/>
            <w:hideMark/>
          </w:tcPr>
          <w:p w14:paraId="3E75450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–0.353</w:t>
            </w:r>
            <w:r w:rsidRPr="00A90E13">
              <w:rPr>
                <w:rFonts w:eastAsiaTheme="minorEastAsia" w:cs="Times New Roman"/>
                <w:sz w:val="18"/>
                <w:szCs w:val="18"/>
                <w:vertAlign w:val="superscript"/>
                <w:lang w:val="en-US" w:eastAsia="ru-RU"/>
              </w:rPr>
              <w:t>***</w:t>
            </w:r>
          </w:p>
        </w:tc>
        <w:tc>
          <w:tcPr>
            <w:tcW w:w="636" w:type="pct"/>
            <w:hideMark/>
          </w:tcPr>
          <w:p w14:paraId="33E5028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–0.408</w:t>
            </w:r>
            <w:r w:rsidRPr="00A90E13">
              <w:rPr>
                <w:rFonts w:eastAsiaTheme="minorEastAsia" w:cs="Times New Roman"/>
                <w:sz w:val="18"/>
                <w:szCs w:val="18"/>
                <w:vertAlign w:val="superscript"/>
                <w:lang w:val="en-US" w:eastAsia="ru-RU"/>
              </w:rPr>
              <w:t>***</w:t>
            </w:r>
          </w:p>
        </w:tc>
        <w:tc>
          <w:tcPr>
            <w:tcW w:w="635" w:type="pct"/>
            <w:hideMark/>
          </w:tcPr>
          <w:p w14:paraId="739E62E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–0.311</w:t>
            </w:r>
            <w:r w:rsidRPr="00A90E13">
              <w:rPr>
                <w:rFonts w:eastAsiaTheme="minorEastAsia" w:cs="Times New Roman"/>
                <w:sz w:val="18"/>
                <w:szCs w:val="18"/>
                <w:vertAlign w:val="superscript"/>
                <w:lang w:val="en-US" w:eastAsia="ru-RU"/>
              </w:rPr>
              <w:t>**</w:t>
            </w:r>
          </w:p>
        </w:tc>
        <w:tc>
          <w:tcPr>
            <w:tcW w:w="636" w:type="pct"/>
            <w:hideMark/>
          </w:tcPr>
          <w:p w14:paraId="1E45602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–0.274</w:t>
            </w:r>
            <w:r w:rsidRPr="00A90E13">
              <w:rPr>
                <w:rFonts w:eastAsiaTheme="minorEastAsia" w:cs="Times New Roman"/>
                <w:sz w:val="18"/>
                <w:szCs w:val="18"/>
                <w:vertAlign w:val="superscript"/>
                <w:lang w:val="en-US" w:eastAsia="ru-RU"/>
              </w:rPr>
              <w:t>*</w:t>
            </w:r>
          </w:p>
        </w:tc>
        <w:tc>
          <w:tcPr>
            <w:tcW w:w="635" w:type="pct"/>
            <w:hideMark/>
          </w:tcPr>
          <w:p w14:paraId="6685C9F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–0.389</w:t>
            </w:r>
            <w:r w:rsidRPr="00A90E13">
              <w:rPr>
                <w:rFonts w:eastAsiaTheme="minorEastAsia" w:cs="Times New Roman"/>
                <w:sz w:val="18"/>
                <w:szCs w:val="18"/>
                <w:vertAlign w:val="superscript"/>
                <w:lang w:val="en-US" w:eastAsia="ru-RU"/>
              </w:rPr>
              <w:t>***</w:t>
            </w:r>
          </w:p>
        </w:tc>
        <w:tc>
          <w:tcPr>
            <w:tcW w:w="637" w:type="pct"/>
            <w:hideMark/>
          </w:tcPr>
          <w:p w14:paraId="35A141B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–0.306</w:t>
            </w:r>
            <w:r w:rsidRPr="00A90E13">
              <w:rPr>
                <w:rFonts w:eastAsiaTheme="minorEastAsia" w:cs="Times New Roman"/>
                <w:sz w:val="18"/>
                <w:szCs w:val="18"/>
                <w:vertAlign w:val="superscript"/>
                <w:lang w:val="en-US" w:eastAsia="ru-RU"/>
              </w:rPr>
              <w:t>**</w:t>
            </w:r>
          </w:p>
        </w:tc>
      </w:tr>
      <w:tr w:rsidR="00A90E13" w:rsidRPr="00A90E13" w14:paraId="5EF50B8A" w14:textId="77777777" w:rsidTr="00D17B7B">
        <w:tc>
          <w:tcPr>
            <w:tcW w:w="1186" w:type="pct"/>
            <w:tcBorders>
              <w:bottom w:val="single" w:sz="4" w:space="0" w:color="auto"/>
            </w:tcBorders>
          </w:tcPr>
          <w:p w14:paraId="02992842"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
        </w:tc>
        <w:tc>
          <w:tcPr>
            <w:tcW w:w="635" w:type="pct"/>
            <w:tcBorders>
              <w:bottom w:val="single" w:sz="4" w:space="0" w:color="auto"/>
            </w:tcBorders>
            <w:hideMark/>
          </w:tcPr>
          <w:p w14:paraId="48AA151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(0.096)</w:t>
            </w:r>
          </w:p>
        </w:tc>
        <w:tc>
          <w:tcPr>
            <w:tcW w:w="636" w:type="pct"/>
            <w:tcBorders>
              <w:bottom w:val="single" w:sz="4" w:space="0" w:color="auto"/>
            </w:tcBorders>
            <w:hideMark/>
          </w:tcPr>
          <w:p w14:paraId="3FF8C8A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(0.094)</w:t>
            </w:r>
          </w:p>
        </w:tc>
        <w:tc>
          <w:tcPr>
            <w:tcW w:w="635" w:type="pct"/>
            <w:tcBorders>
              <w:bottom w:val="single" w:sz="4" w:space="0" w:color="auto"/>
            </w:tcBorders>
            <w:hideMark/>
          </w:tcPr>
          <w:p w14:paraId="4636E50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(0.103)</w:t>
            </w:r>
          </w:p>
        </w:tc>
        <w:tc>
          <w:tcPr>
            <w:tcW w:w="636" w:type="pct"/>
            <w:tcBorders>
              <w:bottom w:val="single" w:sz="4" w:space="0" w:color="auto"/>
            </w:tcBorders>
            <w:hideMark/>
          </w:tcPr>
          <w:p w14:paraId="42FDB52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(0.110)</w:t>
            </w:r>
          </w:p>
        </w:tc>
        <w:tc>
          <w:tcPr>
            <w:tcW w:w="635" w:type="pct"/>
            <w:tcBorders>
              <w:bottom w:val="single" w:sz="4" w:space="0" w:color="auto"/>
            </w:tcBorders>
            <w:hideMark/>
          </w:tcPr>
          <w:p w14:paraId="1A1C8BE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(0.103)</w:t>
            </w:r>
          </w:p>
        </w:tc>
        <w:tc>
          <w:tcPr>
            <w:tcW w:w="637" w:type="pct"/>
            <w:tcBorders>
              <w:bottom w:val="single" w:sz="4" w:space="0" w:color="auto"/>
            </w:tcBorders>
            <w:hideMark/>
          </w:tcPr>
          <w:p w14:paraId="5430608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(0.106)</w:t>
            </w:r>
          </w:p>
        </w:tc>
      </w:tr>
      <w:tr w:rsidR="00A90E13" w:rsidRPr="00A90E13" w14:paraId="6A36D0AE" w14:textId="77777777" w:rsidTr="00D17B7B">
        <w:tc>
          <w:tcPr>
            <w:tcW w:w="1186" w:type="pct"/>
            <w:tcBorders>
              <w:top w:val="single" w:sz="4" w:space="0" w:color="auto"/>
            </w:tcBorders>
            <w:hideMark/>
          </w:tcPr>
          <w:p w14:paraId="79C892CF"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LR χ</w:t>
            </w:r>
            <w:r w:rsidRPr="00A90E13">
              <w:rPr>
                <w:rFonts w:eastAsiaTheme="minorEastAsia" w:cs="Times New Roman"/>
                <w:sz w:val="18"/>
                <w:szCs w:val="18"/>
                <w:vertAlign w:val="superscript"/>
                <w:lang w:val="en-US" w:eastAsia="ru-RU"/>
              </w:rPr>
              <w:t>2</w:t>
            </w:r>
          </w:p>
        </w:tc>
        <w:tc>
          <w:tcPr>
            <w:tcW w:w="635" w:type="pct"/>
            <w:tcBorders>
              <w:top w:val="single" w:sz="4" w:space="0" w:color="auto"/>
            </w:tcBorders>
            <w:hideMark/>
          </w:tcPr>
          <w:p w14:paraId="1EB4FBB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1381.7</w:t>
            </w:r>
            <w:r w:rsidRPr="00A90E13">
              <w:rPr>
                <w:rFonts w:eastAsiaTheme="minorEastAsia" w:cs="Times New Roman"/>
                <w:sz w:val="18"/>
                <w:szCs w:val="18"/>
                <w:vertAlign w:val="superscript"/>
                <w:lang w:val="en-US" w:eastAsia="ru-RU"/>
              </w:rPr>
              <w:t>***</w:t>
            </w:r>
          </w:p>
        </w:tc>
        <w:tc>
          <w:tcPr>
            <w:tcW w:w="636" w:type="pct"/>
            <w:tcBorders>
              <w:top w:val="single" w:sz="4" w:space="0" w:color="auto"/>
            </w:tcBorders>
            <w:hideMark/>
          </w:tcPr>
          <w:p w14:paraId="2028B61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1293.2</w:t>
            </w:r>
            <w:r w:rsidRPr="00A90E13">
              <w:rPr>
                <w:rFonts w:eastAsiaTheme="minorEastAsia" w:cs="Times New Roman"/>
                <w:sz w:val="18"/>
                <w:szCs w:val="18"/>
                <w:vertAlign w:val="superscript"/>
                <w:lang w:val="en-US" w:eastAsia="ru-RU"/>
              </w:rPr>
              <w:t>***</w:t>
            </w:r>
          </w:p>
        </w:tc>
        <w:tc>
          <w:tcPr>
            <w:tcW w:w="635" w:type="pct"/>
            <w:tcBorders>
              <w:top w:val="single" w:sz="4" w:space="0" w:color="auto"/>
            </w:tcBorders>
            <w:hideMark/>
          </w:tcPr>
          <w:p w14:paraId="54DEE68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1362.7</w:t>
            </w:r>
            <w:r w:rsidRPr="00A90E13">
              <w:rPr>
                <w:rFonts w:eastAsiaTheme="minorEastAsia" w:cs="Times New Roman"/>
                <w:sz w:val="18"/>
                <w:szCs w:val="18"/>
                <w:vertAlign w:val="superscript"/>
                <w:lang w:val="en-US" w:eastAsia="ru-RU"/>
              </w:rPr>
              <w:t>***</w:t>
            </w:r>
          </w:p>
        </w:tc>
        <w:tc>
          <w:tcPr>
            <w:tcW w:w="636" w:type="pct"/>
            <w:tcBorders>
              <w:top w:val="single" w:sz="4" w:space="0" w:color="auto"/>
            </w:tcBorders>
            <w:hideMark/>
          </w:tcPr>
          <w:p w14:paraId="063D9B4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1361.9</w:t>
            </w:r>
            <w:r w:rsidRPr="00A90E13">
              <w:rPr>
                <w:rFonts w:eastAsiaTheme="minorEastAsia" w:cs="Times New Roman"/>
                <w:sz w:val="18"/>
                <w:szCs w:val="18"/>
                <w:vertAlign w:val="superscript"/>
                <w:lang w:val="en-US" w:eastAsia="ru-RU"/>
              </w:rPr>
              <w:t>***</w:t>
            </w:r>
          </w:p>
        </w:tc>
        <w:tc>
          <w:tcPr>
            <w:tcW w:w="635" w:type="pct"/>
            <w:tcBorders>
              <w:top w:val="single" w:sz="4" w:space="0" w:color="auto"/>
            </w:tcBorders>
            <w:hideMark/>
          </w:tcPr>
          <w:p w14:paraId="047B10B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1260.6</w:t>
            </w:r>
            <w:r w:rsidRPr="00A90E13">
              <w:rPr>
                <w:rFonts w:eastAsiaTheme="minorEastAsia" w:cs="Times New Roman"/>
                <w:sz w:val="18"/>
                <w:szCs w:val="18"/>
                <w:vertAlign w:val="superscript"/>
                <w:lang w:val="en-US" w:eastAsia="ru-RU"/>
              </w:rPr>
              <w:t>***</w:t>
            </w:r>
          </w:p>
        </w:tc>
        <w:tc>
          <w:tcPr>
            <w:tcW w:w="637" w:type="pct"/>
            <w:tcBorders>
              <w:top w:val="single" w:sz="4" w:space="0" w:color="auto"/>
            </w:tcBorders>
            <w:hideMark/>
          </w:tcPr>
          <w:p w14:paraId="003E1EF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1452.4</w:t>
            </w:r>
            <w:r w:rsidRPr="00A90E13">
              <w:rPr>
                <w:rFonts w:eastAsiaTheme="minorEastAsia" w:cs="Times New Roman"/>
                <w:sz w:val="18"/>
                <w:szCs w:val="18"/>
                <w:vertAlign w:val="superscript"/>
                <w:lang w:val="en-US" w:eastAsia="ru-RU"/>
              </w:rPr>
              <w:t>***</w:t>
            </w:r>
          </w:p>
        </w:tc>
      </w:tr>
      <w:tr w:rsidR="00A90E13" w:rsidRPr="00A90E13" w14:paraId="12522786" w14:textId="77777777" w:rsidTr="00D17B7B">
        <w:tc>
          <w:tcPr>
            <w:tcW w:w="1186" w:type="pct"/>
            <w:hideMark/>
          </w:tcPr>
          <w:p w14:paraId="53F09314"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Pseudo-R</w:t>
            </w:r>
            <w:r w:rsidRPr="00A90E13">
              <w:rPr>
                <w:rFonts w:eastAsiaTheme="minorEastAsia" w:cs="Times New Roman"/>
                <w:sz w:val="18"/>
                <w:szCs w:val="18"/>
                <w:vertAlign w:val="superscript"/>
                <w:lang w:val="en-US" w:eastAsia="ru-RU"/>
              </w:rPr>
              <w:t>2</w:t>
            </w:r>
          </w:p>
        </w:tc>
        <w:tc>
          <w:tcPr>
            <w:tcW w:w="635" w:type="pct"/>
            <w:hideMark/>
          </w:tcPr>
          <w:p w14:paraId="4F4755C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0.104</w:t>
            </w:r>
          </w:p>
        </w:tc>
        <w:tc>
          <w:tcPr>
            <w:tcW w:w="636" w:type="pct"/>
            <w:hideMark/>
          </w:tcPr>
          <w:p w14:paraId="7EB1D81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0.097</w:t>
            </w:r>
          </w:p>
        </w:tc>
        <w:tc>
          <w:tcPr>
            <w:tcW w:w="635" w:type="pct"/>
            <w:hideMark/>
          </w:tcPr>
          <w:p w14:paraId="07BC5B7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0.112</w:t>
            </w:r>
          </w:p>
        </w:tc>
        <w:tc>
          <w:tcPr>
            <w:tcW w:w="636" w:type="pct"/>
            <w:hideMark/>
          </w:tcPr>
          <w:p w14:paraId="600E1EB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0.112</w:t>
            </w:r>
          </w:p>
        </w:tc>
        <w:tc>
          <w:tcPr>
            <w:tcW w:w="635" w:type="pct"/>
            <w:hideMark/>
          </w:tcPr>
          <w:p w14:paraId="18BDA36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0.104</w:t>
            </w:r>
          </w:p>
        </w:tc>
        <w:tc>
          <w:tcPr>
            <w:tcW w:w="637" w:type="pct"/>
            <w:hideMark/>
          </w:tcPr>
          <w:p w14:paraId="3E31A9F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0.120</w:t>
            </w:r>
          </w:p>
        </w:tc>
      </w:tr>
      <w:tr w:rsidR="00A90E13" w:rsidRPr="00A90E13" w14:paraId="5A577C78" w14:textId="77777777" w:rsidTr="00D17B7B">
        <w:tc>
          <w:tcPr>
            <w:tcW w:w="1186" w:type="pct"/>
            <w:hideMark/>
          </w:tcPr>
          <w:p w14:paraId="74C2FB65"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proofErr w:type="spellStart"/>
            <w:r w:rsidRPr="00A90E13">
              <w:rPr>
                <w:rFonts w:eastAsiaTheme="minorEastAsia" w:cs="Times New Roman"/>
                <w:i/>
                <w:iCs/>
                <w:sz w:val="18"/>
                <w:szCs w:val="18"/>
                <w:lang w:val="en-US" w:eastAsia="ru-RU"/>
              </w:rPr>
              <w:t>df</w:t>
            </w:r>
            <w:proofErr w:type="spellEnd"/>
          </w:p>
        </w:tc>
        <w:tc>
          <w:tcPr>
            <w:tcW w:w="635" w:type="pct"/>
            <w:hideMark/>
          </w:tcPr>
          <w:p w14:paraId="773348F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24</w:t>
            </w:r>
          </w:p>
        </w:tc>
        <w:tc>
          <w:tcPr>
            <w:tcW w:w="636" w:type="pct"/>
            <w:hideMark/>
          </w:tcPr>
          <w:p w14:paraId="05837F4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24</w:t>
            </w:r>
          </w:p>
        </w:tc>
        <w:tc>
          <w:tcPr>
            <w:tcW w:w="635" w:type="pct"/>
            <w:hideMark/>
          </w:tcPr>
          <w:p w14:paraId="20B5B1C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24</w:t>
            </w:r>
          </w:p>
        </w:tc>
        <w:tc>
          <w:tcPr>
            <w:tcW w:w="636" w:type="pct"/>
            <w:hideMark/>
          </w:tcPr>
          <w:p w14:paraId="757154D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24</w:t>
            </w:r>
          </w:p>
        </w:tc>
        <w:tc>
          <w:tcPr>
            <w:tcW w:w="635" w:type="pct"/>
            <w:hideMark/>
          </w:tcPr>
          <w:p w14:paraId="17CF9AA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24</w:t>
            </w:r>
          </w:p>
        </w:tc>
        <w:tc>
          <w:tcPr>
            <w:tcW w:w="637" w:type="pct"/>
            <w:hideMark/>
          </w:tcPr>
          <w:p w14:paraId="126C286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24</w:t>
            </w:r>
          </w:p>
        </w:tc>
      </w:tr>
      <w:tr w:rsidR="00A90E13" w:rsidRPr="00A90E13" w14:paraId="209E78CF" w14:textId="77777777" w:rsidTr="00D17B7B">
        <w:tc>
          <w:tcPr>
            <w:tcW w:w="1186" w:type="pct"/>
            <w:hideMark/>
          </w:tcPr>
          <w:p w14:paraId="694EDB23"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N</w:t>
            </w:r>
          </w:p>
        </w:tc>
        <w:tc>
          <w:tcPr>
            <w:tcW w:w="635" w:type="pct"/>
            <w:hideMark/>
          </w:tcPr>
          <w:p w14:paraId="1139BBD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4,711</w:t>
            </w:r>
          </w:p>
        </w:tc>
        <w:tc>
          <w:tcPr>
            <w:tcW w:w="636" w:type="pct"/>
            <w:hideMark/>
          </w:tcPr>
          <w:p w14:paraId="6EE8C13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4,711</w:t>
            </w:r>
          </w:p>
        </w:tc>
        <w:tc>
          <w:tcPr>
            <w:tcW w:w="635" w:type="pct"/>
            <w:hideMark/>
          </w:tcPr>
          <w:p w14:paraId="724909B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4,308</w:t>
            </w:r>
          </w:p>
        </w:tc>
        <w:tc>
          <w:tcPr>
            <w:tcW w:w="636" w:type="pct"/>
            <w:hideMark/>
          </w:tcPr>
          <w:p w14:paraId="7707585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4,308</w:t>
            </w:r>
          </w:p>
        </w:tc>
        <w:tc>
          <w:tcPr>
            <w:tcW w:w="635" w:type="pct"/>
            <w:hideMark/>
          </w:tcPr>
          <w:p w14:paraId="6FD438B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4,308</w:t>
            </w:r>
          </w:p>
        </w:tc>
        <w:tc>
          <w:tcPr>
            <w:tcW w:w="637" w:type="pct"/>
            <w:hideMark/>
          </w:tcPr>
          <w:p w14:paraId="3B900F0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4,308</w:t>
            </w:r>
          </w:p>
        </w:tc>
      </w:tr>
      <w:tr w:rsidR="00A90E13" w:rsidRPr="00A90E13" w14:paraId="6C2CB853" w14:textId="77777777" w:rsidTr="00D17B7B">
        <w:tc>
          <w:tcPr>
            <w:tcW w:w="1186" w:type="pct"/>
            <w:hideMark/>
          </w:tcPr>
          <w:p w14:paraId="7A8D662D"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χ</w:t>
            </w:r>
            <w:r w:rsidRPr="00A90E13">
              <w:rPr>
                <w:rFonts w:eastAsiaTheme="minorEastAsia" w:cs="Times New Roman"/>
                <w:sz w:val="18"/>
                <w:szCs w:val="18"/>
                <w:vertAlign w:val="superscript"/>
                <w:lang w:val="en-US" w:eastAsia="ru-RU"/>
              </w:rPr>
              <w:t xml:space="preserve">2 </w:t>
            </w:r>
            <w:r w:rsidRPr="00A90E13">
              <w:rPr>
                <w:rFonts w:eastAsiaTheme="minorEastAsia" w:cs="Times New Roman"/>
                <w:sz w:val="18"/>
                <w:szCs w:val="18"/>
                <w:lang w:val="en-US" w:eastAsia="ru-RU"/>
              </w:rPr>
              <w:t>for the Wald test of the interaction effect</w:t>
            </w:r>
          </w:p>
        </w:tc>
        <w:tc>
          <w:tcPr>
            <w:tcW w:w="635" w:type="pct"/>
            <w:hideMark/>
          </w:tcPr>
          <w:p w14:paraId="1D95C96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9.243</w:t>
            </w:r>
          </w:p>
        </w:tc>
        <w:tc>
          <w:tcPr>
            <w:tcW w:w="636" w:type="pct"/>
            <w:hideMark/>
          </w:tcPr>
          <w:p w14:paraId="165C546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10.814</w:t>
            </w:r>
            <w:r w:rsidRPr="00A90E13">
              <w:rPr>
                <w:rFonts w:eastAsiaTheme="minorEastAsia" w:cs="Times New Roman"/>
                <w:sz w:val="18"/>
                <w:szCs w:val="18"/>
                <w:vertAlign w:val="superscript"/>
                <w:lang w:val="en-US" w:eastAsia="ru-RU"/>
              </w:rPr>
              <w:t>*</w:t>
            </w:r>
          </w:p>
        </w:tc>
        <w:tc>
          <w:tcPr>
            <w:tcW w:w="635" w:type="pct"/>
            <w:hideMark/>
          </w:tcPr>
          <w:p w14:paraId="6F1EC10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13.924</w:t>
            </w:r>
            <w:r w:rsidRPr="00A90E13">
              <w:rPr>
                <w:rFonts w:eastAsiaTheme="minorEastAsia" w:cs="Times New Roman"/>
                <w:sz w:val="18"/>
                <w:szCs w:val="18"/>
                <w:vertAlign w:val="superscript"/>
                <w:lang w:val="en-US" w:eastAsia="ru-RU"/>
              </w:rPr>
              <w:t>**</w:t>
            </w:r>
          </w:p>
        </w:tc>
        <w:tc>
          <w:tcPr>
            <w:tcW w:w="636" w:type="pct"/>
            <w:hideMark/>
          </w:tcPr>
          <w:p w14:paraId="09E0A3B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27.393</w:t>
            </w:r>
            <w:r w:rsidRPr="00A90E13">
              <w:rPr>
                <w:rFonts w:eastAsiaTheme="minorEastAsia" w:cs="Times New Roman"/>
                <w:sz w:val="18"/>
                <w:szCs w:val="18"/>
                <w:vertAlign w:val="superscript"/>
                <w:lang w:val="en-US" w:eastAsia="ru-RU"/>
              </w:rPr>
              <w:t>***</w:t>
            </w:r>
          </w:p>
        </w:tc>
        <w:tc>
          <w:tcPr>
            <w:tcW w:w="635" w:type="pct"/>
            <w:hideMark/>
          </w:tcPr>
          <w:p w14:paraId="09F6039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15.390</w:t>
            </w:r>
            <w:r w:rsidRPr="00A90E13">
              <w:rPr>
                <w:rFonts w:eastAsiaTheme="minorEastAsia" w:cs="Times New Roman"/>
                <w:sz w:val="18"/>
                <w:szCs w:val="18"/>
                <w:vertAlign w:val="superscript"/>
                <w:lang w:val="en-US" w:eastAsia="ru-RU"/>
              </w:rPr>
              <w:t>**</w:t>
            </w:r>
          </w:p>
        </w:tc>
        <w:tc>
          <w:tcPr>
            <w:tcW w:w="637" w:type="pct"/>
            <w:hideMark/>
          </w:tcPr>
          <w:p w14:paraId="3DF49CB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16.522</w:t>
            </w:r>
            <w:r w:rsidRPr="00A90E13">
              <w:rPr>
                <w:rFonts w:eastAsiaTheme="minorEastAsia" w:cs="Times New Roman"/>
                <w:sz w:val="18"/>
                <w:szCs w:val="18"/>
                <w:vertAlign w:val="superscript"/>
                <w:lang w:val="en-US" w:eastAsia="ru-RU"/>
              </w:rPr>
              <w:t>**</w:t>
            </w:r>
          </w:p>
        </w:tc>
      </w:tr>
      <w:tr w:rsidR="00A90E13" w:rsidRPr="00A90E13" w14:paraId="66679279" w14:textId="77777777" w:rsidTr="00D17B7B">
        <w:tc>
          <w:tcPr>
            <w:tcW w:w="1186" w:type="pct"/>
            <w:tcBorders>
              <w:bottom w:val="single" w:sz="4" w:space="0" w:color="auto"/>
            </w:tcBorders>
            <w:hideMark/>
          </w:tcPr>
          <w:p w14:paraId="0AA82990"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sz w:val="18"/>
                <w:szCs w:val="18"/>
                <w:lang w:val="en-US" w:eastAsia="ru-RU"/>
              </w:rPr>
              <w:t>χ</w:t>
            </w:r>
            <w:r w:rsidRPr="00A90E13">
              <w:rPr>
                <w:rFonts w:eastAsiaTheme="minorEastAsia" w:cs="Times New Roman"/>
                <w:sz w:val="18"/>
                <w:szCs w:val="18"/>
                <w:vertAlign w:val="superscript"/>
                <w:lang w:val="en-US" w:eastAsia="ru-RU"/>
              </w:rPr>
              <w:t xml:space="preserve">2 </w:t>
            </w:r>
            <w:r w:rsidRPr="00A90E13">
              <w:rPr>
                <w:rFonts w:eastAsiaTheme="minorEastAsia" w:cs="Times New Roman"/>
                <w:sz w:val="18"/>
                <w:szCs w:val="18"/>
                <w:lang w:val="en-US" w:eastAsia="ru-RU"/>
              </w:rPr>
              <w:t>for the Likelihood-ratio test of the interaction effect</w:t>
            </w:r>
          </w:p>
        </w:tc>
        <w:tc>
          <w:tcPr>
            <w:tcW w:w="635" w:type="pct"/>
            <w:tcBorders>
              <w:bottom w:val="single" w:sz="4" w:space="0" w:color="auto"/>
            </w:tcBorders>
            <w:hideMark/>
          </w:tcPr>
          <w:p w14:paraId="704F31E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9.322</w:t>
            </w:r>
          </w:p>
        </w:tc>
        <w:tc>
          <w:tcPr>
            <w:tcW w:w="636" w:type="pct"/>
            <w:tcBorders>
              <w:bottom w:val="single" w:sz="4" w:space="0" w:color="auto"/>
            </w:tcBorders>
            <w:hideMark/>
          </w:tcPr>
          <w:p w14:paraId="29398A4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10.937</w:t>
            </w:r>
            <w:r w:rsidRPr="00A90E13">
              <w:rPr>
                <w:rFonts w:eastAsiaTheme="minorEastAsia" w:cs="Times New Roman"/>
                <w:sz w:val="18"/>
                <w:szCs w:val="18"/>
                <w:vertAlign w:val="superscript"/>
                <w:lang w:val="en-US" w:eastAsia="ru-RU"/>
              </w:rPr>
              <w:t>*</w:t>
            </w:r>
          </w:p>
        </w:tc>
        <w:tc>
          <w:tcPr>
            <w:tcW w:w="635" w:type="pct"/>
            <w:tcBorders>
              <w:bottom w:val="single" w:sz="4" w:space="0" w:color="auto"/>
            </w:tcBorders>
            <w:hideMark/>
          </w:tcPr>
          <w:p w14:paraId="1F79FA0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13.996</w:t>
            </w:r>
            <w:r w:rsidRPr="00A90E13">
              <w:rPr>
                <w:rFonts w:eastAsiaTheme="minorEastAsia" w:cs="Times New Roman"/>
                <w:sz w:val="18"/>
                <w:szCs w:val="18"/>
                <w:vertAlign w:val="superscript"/>
                <w:lang w:val="en-US" w:eastAsia="ru-RU"/>
              </w:rPr>
              <w:t>**</w:t>
            </w:r>
          </w:p>
        </w:tc>
        <w:tc>
          <w:tcPr>
            <w:tcW w:w="636" w:type="pct"/>
            <w:tcBorders>
              <w:bottom w:val="single" w:sz="4" w:space="0" w:color="auto"/>
            </w:tcBorders>
            <w:hideMark/>
          </w:tcPr>
          <w:p w14:paraId="257A395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27.675</w:t>
            </w:r>
            <w:r w:rsidRPr="00A90E13">
              <w:rPr>
                <w:rFonts w:eastAsiaTheme="minorEastAsia" w:cs="Times New Roman"/>
                <w:sz w:val="18"/>
                <w:szCs w:val="18"/>
                <w:vertAlign w:val="superscript"/>
                <w:lang w:val="en-US" w:eastAsia="ru-RU"/>
              </w:rPr>
              <w:t>***</w:t>
            </w:r>
          </w:p>
        </w:tc>
        <w:tc>
          <w:tcPr>
            <w:tcW w:w="635" w:type="pct"/>
            <w:tcBorders>
              <w:bottom w:val="single" w:sz="4" w:space="0" w:color="auto"/>
            </w:tcBorders>
            <w:hideMark/>
          </w:tcPr>
          <w:p w14:paraId="5CF65AB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15.490</w:t>
            </w:r>
            <w:r w:rsidRPr="00A90E13">
              <w:rPr>
                <w:rFonts w:eastAsiaTheme="minorEastAsia" w:cs="Times New Roman"/>
                <w:sz w:val="18"/>
                <w:szCs w:val="18"/>
                <w:vertAlign w:val="superscript"/>
                <w:lang w:val="en-US" w:eastAsia="ru-RU"/>
              </w:rPr>
              <w:t>**</w:t>
            </w:r>
          </w:p>
        </w:tc>
        <w:tc>
          <w:tcPr>
            <w:tcW w:w="637" w:type="pct"/>
            <w:tcBorders>
              <w:bottom w:val="single" w:sz="4" w:space="0" w:color="auto"/>
            </w:tcBorders>
            <w:hideMark/>
          </w:tcPr>
          <w:p w14:paraId="720289A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18"/>
                <w:szCs w:val="18"/>
                <w:lang w:val="en-US" w:eastAsia="ru-RU"/>
              </w:rPr>
            </w:pPr>
            <w:r w:rsidRPr="00A90E13">
              <w:rPr>
                <w:rFonts w:eastAsiaTheme="minorEastAsia" w:cs="Times New Roman"/>
                <w:sz w:val="18"/>
                <w:szCs w:val="18"/>
                <w:lang w:val="en-US" w:eastAsia="ru-RU"/>
              </w:rPr>
              <w:t>16.637</w:t>
            </w:r>
            <w:r w:rsidRPr="00A90E13">
              <w:rPr>
                <w:rFonts w:eastAsiaTheme="minorEastAsia" w:cs="Times New Roman"/>
                <w:sz w:val="18"/>
                <w:szCs w:val="18"/>
                <w:vertAlign w:val="superscript"/>
                <w:lang w:val="en-US" w:eastAsia="ru-RU"/>
              </w:rPr>
              <w:t>**</w:t>
            </w:r>
          </w:p>
        </w:tc>
      </w:tr>
    </w:tbl>
    <w:p w14:paraId="2E6B1ED3"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18"/>
          <w:szCs w:val="18"/>
          <w:lang w:val="en-US" w:eastAsia="ru-RU"/>
        </w:rPr>
      </w:pPr>
      <w:r w:rsidRPr="00A90E13">
        <w:rPr>
          <w:rFonts w:eastAsiaTheme="minorEastAsia" w:cs="Times New Roman"/>
          <w:i/>
          <w:iCs/>
          <w:sz w:val="18"/>
          <w:szCs w:val="18"/>
          <w:lang w:val="en-US" w:eastAsia="ru-RU"/>
        </w:rPr>
        <w:t xml:space="preserve">Notes: </w:t>
      </w:r>
      <w:r w:rsidRPr="00A90E13">
        <w:rPr>
          <w:rFonts w:eastAsiaTheme="minorEastAsia" w:cs="Times New Roman"/>
          <w:sz w:val="18"/>
          <w:szCs w:val="18"/>
          <w:lang w:val="en-US" w:eastAsia="ru-RU"/>
        </w:rPr>
        <w:t xml:space="preserve">All models include controls for sex and TIMSS residence area (suppressed in tables). Main values are </w:t>
      </w:r>
      <w:proofErr w:type="spellStart"/>
      <w:r w:rsidRPr="00A90E13">
        <w:rPr>
          <w:rFonts w:eastAsiaTheme="minorEastAsia" w:cs="Times New Roman"/>
          <w:sz w:val="18"/>
          <w:szCs w:val="18"/>
          <w:lang w:val="en-US" w:eastAsia="ru-RU"/>
        </w:rPr>
        <w:t>logit</w:t>
      </w:r>
      <w:proofErr w:type="spellEnd"/>
      <w:r w:rsidRPr="00A90E13">
        <w:rPr>
          <w:rFonts w:eastAsiaTheme="minorEastAsia" w:cs="Times New Roman"/>
          <w:sz w:val="18"/>
          <w:szCs w:val="18"/>
          <w:lang w:val="en-US" w:eastAsia="ru-RU"/>
        </w:rPr>
        <w:t xml:space="preserve"> coefficients. Standard errors provided in parentheses. Standard errors provided in parentheses. </w:t>
      </w:r>
      <w:r w:rsidRPr="00A90E13">
        <w:rPr>
          <w:rFonts w:eastAsiaTheme="minorEastAsia" w:cs="Times New Roman"/>
          <w:i/>
          <w:sz w:val="18"/>
          <w:szCs w:val="18"/>
          <w:lang w:val="en-US" w:eastAsia="ru-RU"/>
        </w:rPr>
        <w:t xml:space="preserve">Source: </w:t>
      </w:r>
      <w:proofErr w:type="spellStart"/>
      <w:r w:rsidRPr="00A90E13">
        <w:rPr>
          <w:rFonts w:eastAsiaTheme="minorEastAsia" w:cs="Times New Roman"/>
          <w:sz w:val="18"/>
          <w:szCs w:val="18"/>
          <w:lang w:val="en-US" w:eastAsia="ru-RU"/>
        </w:rPr>
        <w:t>TrEC</w:t>
      </w:r>
      <w:proofErr w:type="spellEnd"/>
      <w:r w:rsidRPr="00A90E13">
        <w:rPr>
          <w:rFonts w:eastAsiaTheme="minorEastAsia" w:cs="Times New Roman"/>
          <w:sz w:val="18"/>
          <w:szCs w:val="18"/>
          <w:lang w:val="en-US" w:eastAsia="ru-RU"/>
        </w:rPr>
        <w:t xml:space="preserve">; own calculations. </w:t>
      </w:r>
      <w:r w:rsidRPr="00A90E13">
        <w:rPr>
          <w:rFonts w:eastAsiaTheme="minorEastAsia" w:cs="Times New Roman"/>
          <w:sz w:val="18"/>
          <w:szCs w:val="18"/>
          <w:vertAlign w:val="superscript"/>
          <w:lang w:val="en-US" w:eastAsia="ru-RU"/>
        </w:rPr>
        <w:t>*</w:t>
      </w:r>
      <w:r w:rsidRPr="00A90E13">
        <w:rPr>
          <w:rFonts w:eastAsiaTheme="minorEastAsia" w:cs="Times New Roman"/>
          <w:sz w:val="18"/>
          <w:szCs w:val="18"/>
          <w:lang w:val="en-US" w:eastAsia="ru-RU"/>
        </w:rPr>
        <w:t xml:space="preserve"> </w:t>
      </w:r>
      <w:proofErr w:type="gramStart"/>
      <w:r w:rsidRPr="00A90E13">
        <w:rPr>
          <w:rFonts w:eastAsiaTheme="minorEastAsia" w:cs="Times New Roman"/>
          <w:i/>
          <w:iCs/>
          <w:sz w:val="18"/>
          <w:szCs w:val="18"/>
          <w:lang w:val="en-US" w:eastAsia="ru-RU"/>
        </w:rPr>
        <w:t>p</w:t>
      </w:r>
      <w:proofErr w:type="gramEnd"/>
      <w:r w:rsidRPr="00A90E13">
        <w:rPr>
          <w:rFonts w:eastAsiaTheme="minorEastAsia" w:cs="Times New Roman"/>
          <w:sz w:val="18"/>
          <w:szCs w:val="18"/>
          <w:lang w:val="en-US" w:eastAsia="ru-RU"/>
        </w:rPr>
        <w:t xml:space="preserve"> &lt; 0.05, </w:t>
      </w:r>
      <w:r w:rsidRPr="00A90E13">
        <w:rPr>
          <w:rFonts w:eastAsiaTheme="minorEastAsia" w:cs="Times New Roman"/>
          <w:sz w:val="18"/>
          <w:szCs w:val="18"/>
          <w:vertAlign w:val="superscript"/>
          <w:lang w:val="en-US" w:eastAsia="ru-RU"/>
        </w:rPr>
        <w:t>**</w:t>
      </w:r>
      <w:r w:rsidRPr="00A90E13">
        <w:rPr>
          <w:rFonts w:eastAsiaTheme="minorEastAsia" w:cs="Times New Roman"/>
          <w:sz w:val="18"/>
          <w:szCs w:val="18"/>
          <w:lang w:val="en-US" w:eastAsia="ru-RU"/>
        </w:rPr>
        <w:t xml:space="preserve"> </w:t>
      </w:r>
      <w:r w:rsidRPr="00A90E13">
        <w:rPr>
          <w:rFonts w:eastAsiaTheme="minorEastAsia" w:cs="Times New Roman"/>
          <w:i/>
          <w:iCs/>
          <w:sz w:val="18"/>
          <w:szCs w:val="18"/>
          <w:lang w:val="en-US" w:eastAsia="ru-RU"/>
        </w:rPr>
        <w:t>p</w:t>
      </w:r>
      <w:r w:rsidRPr="00A90E13">
        <w:rPr>
          <w:rFonts w:eastAsiaTheme="minorEastAsia" w:cs="Times New Roman"/>
          <w:sz w:val="18"/>
          <w:szCs w:val="18"/>
          <w:lang w:val="en-US" w:eastAsia="ru-RU"/>
        </w:rPr>
        <w:t xml:space="preserve"> &lt; 0.01, </w:t>
      </w:r>
      <w:r w:rsidRPr="00A90E13">
        <w:rPr>
          <w:rFonts w:eastAsiaTheme="minorEastAsia" w:cs="Times New Roman"/>
          <w:sz w:val="18"/>
          <w:szCs w:val="18"/>
          <w:vertAlign w:val="superscript"/>
          <w:lang w:val="en-US" w:eastAsia="ru-RU"/>
        </w:rPr>
        <w:t>***</w:t>
      </w:r>
      <w:r w:rsidRPr="00A90E13">
        <w:rPr>
          <w:rFonts w:eastAsiaTheme="minorEastAsia" w:cs="Times New Roman"/>
          <w:sz w:val="18"/>
          <w:szCs w:val="18"/>
          <w:lang w:val="en-US" w:eastAsia="ru-RU"/>
        </w:rPr>
        <w:t xml:space="preserve"> </w:t>
      </w:r>
      <w:r w:rsidRPr="00A90E13">
        <w:rPr>
          <w:rFonts w:eastAsiaTheme="minorEastAsia" w:cs="Times New Roman"/>
          <w:i/>
          <w:iCs/>
          <w:sz w:val="18"/>
          <w:szCs w:val="18"/>
          <w:lang w:val="en-US" w:eastAsia="ru-RU"/>
        </w:rPr>
        <w:t>p</w:t>
      </w:r>
      <w:r w:rsidRPr="00A90E13">
        <w:rPr>
          <w:rFonts w:eastAsiaTheme="minorEastAsia" w:cs="Times New Roman"/>
          <w:sz w:val="18"/>
          <w:szCs w:val="18"/>
          <w:lang w:val="en-US" w:eastAsia="ru-RU"/>
        </w:rPr>
        <w:t xml:space="preserve"> &lt; 0.001.</w:t>
      </w:r>
    </w:p>
    <w:p w14:paraId="24DAB603" w14:textId="77777777" w:rsidR="00A90E13" w:rsidRDefault="00A90E13" w:rsidP="00C35151">
      <w:pPr>
        <w:ind w:firstLine="0"/>
        <w:rPr>
          <w:lang w:val="en-US"/>
        </w:rPr>
      </w:pPr>
    </w:p>
    <w:p w14:paraId="5F881500" w14:textId="77777777" w:rsidR="00A90E13" w:rsidRDefault="00A90E13">
      <w:pPr>
        <w:spacing w:after="200" w:line="276" w:lineRule="auto"/>
        <w:ind w:firstLine="0"/>
        <w:jc w:val="left"/>
        <w:rPr>
          <w:rFonts w:eastAsiaTheme="minorEastAsia" w:cs="Times New Roman"/>
          <w:b/>
          <w:szCs w:val="24"/>
          <w:lang w:val="en-US" w:eastAsia="ru-RU"/>
        </w:rPr>
      </w:pPr>
      <w:r>
        <w:rPr>
          <w:rFonts w:eastAsiaTheme="minorEastAsia" w:cs="Times New Roman"/>
          <w:b/>
          <w:szCs w:val="24"/>
          <w:lang w:val="en-US" w:eastAsia="ru-RU"/>
        </w:rPr>
        <w:br w:type="page"/>
      </w:r>
    </w:p>
    <w:p w14:paraId="3CAA95D1" w14:textId="21E1690E" w:rsidR="00A90E13" w:rsidRPr="00A90E13" w:rsidRDefault="00A90E13" w:rsidP="00A90E13">
      <w:pPr>
        <w:keepNext/>
        <w:widowControl w:val="0"/>
        <w:autoSpaceDE w:val="0"/>
        <w:autoSpaceDN w:val="0"/>
        <w:adjustRightInd w:val="0"/>
        <w:spacing w:line="240" w:lineRule="auto"/>
        <w:ind w:firstLine="0"/>
        <w:jc w:val="left"/>
        <w:rPr>
          <w:rFonts w:eastAsiaTheme="minorEastAsia" w:cs="Times New Roman"/>
          <w:b/>
          <w:szCs w:val="24"/>
          <w:lang w:val="en-US" w:eastAsia="ru-RU"/>
        </w:rPr>
      </w:pPr>
      <w:r w:rsidRPr="00A90E13">
        <w:rPr>
          <w:rFonts w:eastAsiaTheme="minorEastAsia" w:cs="Times New Roman"/>
          <w:b/>
          <w:szCs w:val="24"/>
          <w:lang w:val="en-US" w:eastAsia="ru-RU"/>
        </w:rPr>
        <w:lastRenderedPageBreak/>
        <w:t>Table A.4. Linear probability models for enrolment in higher education through academic pathway</w:t>
      </w:r>
    </w:p>
    <w:p w14:paraId="77423516" w14:textId="77777777" w:rsidR="00A90E13" w:rsidRPr="00A90E13" w:rsidRDefault="00A90E13" w:rsidP="00A90E13">
      <w:pPr>
        <w:keepNext/>
        <w:widowControl w:val="0"/>
        <w:autoSpaceDE w:val="0"/>
        <w:autoSpaceDN w:val="0"/>
        <w:adjustRightInd w:val="0"/>
        <w:spacing w:line="240" w:lineRule="auto"/>
        <w:ind w:firstLine="0"/>
        <w:jc w:val="left"/>
        <w:rPr>
          <w:rFonts w:eastAsiaTheme="minorEastAsia" w:cs="Times New Roman"/>
          <w:sz w:val="20"/>
          <w:szCs w:val="20"/>
          <w:lang w:val="en-US" w:eastAsia="ru-RU"/>
        </w:rPr>
      </w:pPr>
    </w:p>
    <w:tbl>
      <w:tblPr>
        <w:tblW w:w="5000" w:type="pct"/>
        <w:tblLayout w:type="fixed"/>
        <w:tblLook w:val="0000" w:firstRow="0" w:lastRow="0" w:firstColumn="0" w:lastColumn="0" w:noHBand="0" w:noVBand="0"/>
      </w:tblPr>
      <w:tblGrid>
        <w:gridCol w:w="1628"/>
        <w:gridCol w:w="1277"/>
        <w:gridCol w:w="1277"/>
        <w:gridCol w:w="1276"/>
        <w:gridCol w:w="1276"/>
        <w:gridCol w:w="1276"/>
        <w:gridCol w:w="1276"/>
      </w:tblGrid>
      <w:tr w:rsidR="00A90E13" w:rsidRPr="00A90E13" w14:paraId="38FAC394" w14:textId="77777777" w:rsidTr="00D17B7B">
        <w:tc>
          <w:tcPr>
            <w:tcW w:w="1998" w:type="dxa"/>
            <w:tcBorders>
              <w:top w:val="single" w:sz="4" w:space="0" w:color="auto"/>
              <w:left w:val="nil"/>
              <w:bottom w:val="nil"/>
              <w:right w:val="nil"/>
            </w:tcBorders>
          </w:tcPr>
          <w:p w14:paraId="41FB75BE"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1554" w:type="dxa"/>
            <w:tcBorders>
              <w:top w:val="single" w:sz="4" w:space="0" w:color="auto"/>
              <w:left w:val="nil"/>
              <w:bottom w:val="nil"/>
              <w:right w:val="nil"/>
            </w:tcBorders>
          </w:tcPr>
          <w:p w14:paraId="66E0D15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(1)</w:t>
            </w:r>
          </w:p>
        </w:tc>
        <w:tc>
          <w:tcPr>
            <w:tcW w:w="1554" w:type="dxa"/>
            <w:tcBorders>
              <w:top w:val="single" w:sz="4" w:space="0" w:color="auto"/>
              <w:left w:val="nil"/>
              <w:bottom w:val="nil"/>
              <w:right w:val="nil"/>
            </w:tcBorders>
          </w:tcPr>
          <w:p w14:paraId="59CADB5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(2)</w:t>
            </w:r>
          </w:p>
        </w:tc>
        <w:tc>
          <w:tcPr>
            <w:tcW w:w="1554" w:type="dxa"/>
            <w:tcBorders>
              <w:top w:val="single" w:sz="4" w:space="0" w:color="auto"/>
              <w:left w:val="nil"/>
              <w:bottom w:val="nil"/>
              <w:right w:val="nil"/>
            </w:tcBorders>
          </w:tcPr>
          <w:p w14:paraId="564DFE1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(3)</w:t>
            </w:r>
          </w:p>
        </w:tc>
        <w:tc>
          <w:tcPr>
            <w:tcW w:w="1554" w:type="dxa"/>
            <w:tcBorders>
              <w:top w:val="single" w:sz="4" w:space="0" w:color="auto"/>
              <w:left w:val="nil"/>
              <w:bottom w:val="nil"/>
              <w:right w:val="nil"/>
            </w:tcBorders>
          </w:tcPr>
          <w:p w14:paraId="091A600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(4)</w:t>
            </w:r>
          </w:p>
        </w:tc>
        <w:tc>
          <w:tcPr>
            <w:tcW w:w="1554" w:type="dxa"/>
            <w:tcBorders>
              <w:top w:val="single" w:sz="4" w:space="0" w:color="auto"/>
              <w:left w:val="nil"/>
              <w:bottom w:val="nil"/>
              <w:right w:val="nil"/>
            </w:tcBorders>
          </w:tcPr>
          <w:p w14:paraId="53E2969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(5)</w:t>
            </w:r>
          </w:p>
        </w:tc>
        <w:tc>
          <w:tcPr>
            <w:tcW w:w="1554" w:type="dxa"/>
            <w:tcBorders>
              <w:top w:val="single" w:sz="4" w:space="0" w:color="auto"/>
              <w:left w:val="nil"/>
              <w:bottom w:val="nil"/>
              <w:right w:val="nil"/>
            </w:tcBorders>
          </w:tcPr>
          <w:p w14:paraId="36B781C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(6)</w:t>
            </w:r>
          </w:p>
        </w:tc>
      </w:tr>
      <w:tr w:rsidR="00A90E13" w:rsidRPr="00A90E13" w14:paraId="21B20B5D" w14:textId="77777777" w:rsidTr="00D17B7B">
        <w:tc>
          <w:tcPr>
            <w:tcW w:w="2616" w:type="dxa"/>
            <w:tcBorders>
              <w:top w:val="nil"/>
              <w:left w:val="nil"/>
              <w:bottom w:val="nil"/>
              <w:right w:val="nil"/>
            </w:tcBorders>
          </w:tcPr>
          <w:p w14:paraId="072DCA27"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02B0F54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 xml:space="preserve">TIMSS math score </w:t>
            </w:r>
          </w:p>
        </w:tc>
        <w:tc>
          <w:tcPr>
            <w:tcW w:w="2016" w:type="dxa"/>
            <w:tcBorders>
              <w:top w:val="nil"/>
              <w:left w:val="nil"/>
              <w:bottom w:val="nil"/>
              <w:right w:val="nil"/>
            </w:tcBorders>
          </w:tcPr>
          <w:p w14:paraId="59BED76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 xml:space="preserve">TIMSS science score </w:t>
            </w:r>
          </w:p>
        </w:tc>
        <w:tc>
          <w:tcPr>
            <w:tcW w:w="2016" w:type="dxa"/>
            <w:tcBorders>
              <w:top w:val="nil"/>
              <w:left w:val="nil"/>
              <w:bottom w:val="nil"/>
              <w:right w:val="nil"/>
            </w:tcBorders>
          </w:tcPr>
          <w:p w14:paraId="095B254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 xml:space="preserve">PISA math score </w:t>
            </w:r>
          </w:p>
        </w:tc>
        <w:tc>
          <w:tcPr>
            <w:tcW w:w="2016" w:type="dxa"/>
            <w:tcBorders>
              <w:top w:val="nil"/>
              <w:left w:val="nil"/>
              <w:bottom w:val="nil"/>
              <w:right w:val="nil"/>
            </w:tcBorders>
          </w:tcPr>
          <w:p w14:paraId="08B1D38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 xml:space="preserve">PISA reading score </w:t>
            </w:r>
          </w:p>
        </w:tc>
        <w:tc>
          <w:tcPr>
            <w:tcW w:w="2016" w:type="dxa"/>
            <w:tcBorders>
              <w:top w:val="nil"/>
              <w:left w:val="nil"/>
              <w:bottom w:val="nil"/>
              <w:right w:val="nil"/>
            </w:tcBorders>
          </w:tcPr>
          <w:p w14:paraId="290BFD5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 xml:space="preserve">PISA science score </w:t>
            </w:r>
          </w:p>
        </w:tc>
        <w:tc>
          <w:tcPr>
            <w:tcW w:w="2016" w:type="dxa"/>
            <w:tcBorders>
              <w:top w:val="nil"/>
              <w:left w:val="nil"/>
              <w:bottom w:val="nil"/>
              <w:right w:val="nil"/>
            </w:tcBorders>
          </w:tcPr>
          <w:p w14:paraId="4C02C7A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 xml:space="preserve">Composite ability measure </w:t>
            </w:r>
          </w:p>
        </w:tc>
      </w:tr>
      <w:tr w:rsidR="00A90E13" w:rsidRPr="00A90E13" w14:paraId="7E52B9E9" w14:textId="77777777" w:rsidTr="00D17B7B">
        <w:tc>
          <w:tcPr>
            <w:tcW w:w="2616" w:type="dxa"/>
            <w:tcBorders>
              <w:top w:val="single" w:sz="4" w:space="0" w:color="auto"/>
              <w:left w:val="nil"/>
              <w:bottom w:val="nil"/>
              <w:right w:val="nil"/>
            </w:tcBorders>
          </w:tcPr>
          <w:p w14:paraId="466AC361"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A90E13">
              <w:rPr>
                <w:rFonts w:eastAsiaTheme="minorEastAsia" w:cs="Times New Roman"/>
                <w:sz w:val="20"/>
                <w:szCs w:val="20"/>
                <w:lang w:val="en-US" w:eastAsia="ru-RU"/>
              </w:rPr>
              <w:t>Higher social background</w:t>
            </w:r>
          </w:p>
        </w:tc>
        <w:tc>
          <w:tcPr>
            <w:tcW w:w="2016" w:type="dxa"/>
            <w:tcBorders>
              <w:top w:val="single" w:sz="4" w:space="0" w:color="auto"/>
              <w:left w:val="nil"/>
              <w:bottom w:val="nil"/>
              <w:right w:val="nil"/>
            </w:tcBorders>
          </w:tcPr>
          <w:p w14:paraId="08D63CD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0.238</w:t>
            </w:r>
            <w:r w:rsidRPr="00A90E13">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1DE93E2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0.245</w:t>
            </w:r>
            <w:r w:rsidRPr="00A90E13">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1802388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0.212</w:t>
            </w:r>
            <w:r w:rsidRPr="00A90E13">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283F957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0.215</w:t>
            </w:r>
            <w:r w:rsidRPr="00A90E13">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2A56E5A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0.219</w:t>
            </w:r>
            <w:r w:rsidRPr="00A90E13">
              <w:rPr>
                <w:rFonts w:eastAsiaTheme="minorEastAsia" w:cs="Times New Roman"/>
                <w:sz w:val="20"/>
                <w:szCs w:val="20"/>
                <w:vertAlign w:val="superscript"/>
                <w:lang w:val="en-US" w:eastAsia="ru-RU"/>
              </w:rPr>
              <w:t>***</w:t>
            </w:r>
          </w:p>
        </w:tc>
        <w:tc>
          <w:tcPr>
            <w:tcW w:w="2016" w:type="dxa"/>
            <w:tcBorders>
              <w:top w:val="single" w:sz="4" w:space="0" w:color="auto"/>
              <w:left w:val="nil"/>
              <w:bottom w:val="nil"/>
              <w:right w:val="nil"/>
            </w:tcBorders>
          </w:tcPr>
          <w:p w14:paraId="62B6150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0.194</w:t>
            </w:r>
            <w:r w:rsidRPr="00A90E13">
              <w:rPr>
                <w:rFonts w:eastAsiaTheme="minorEastAsia" w:cs="Times New Roman"/>
                <w:sz w:val="20"/>
                <w:szCs w:val="20"/>
                <w:vertAlign w:val="superscript"/>
                <w:lang w:val="en-US" w:eastAsia="ru-RU"/>
              </w:rPr>
              <w:t>***</w:t>
            </w:r>
          </w:p>
        </w:tc>
      </w:tr>
      <w:tr w:rsidR="00A90E13" w:rsidRPr="00A90E13" w14:paraId="683EA020" w14:textId="77777777" w:rsidTr="00D17B7B">
        <w:tc>
          <w:tcPr>
            <w:tcW w:w="2616" w:type="dxa"/>
            <w:tcBorders>
              <w:top w:val="nil"/>
              <w:left w:val="nil"/>
              <w:bottom w:val="nil"/>
              <w:right w:val="nil"/>
            </w:tcBorders>
          </w:tcPr>
          <w:p w14:paraId="46B31B34"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6027619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61D7FDE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3634602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1259C53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18EE701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0E4E2DC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r>
      <w:tr w:rsidR="00A90E13" w:rsidRPr="00A90E13" w14:paraId="47A9A755" w14:textId="77777777" w:rsidTr="00D17B7B">
        <w:tc>
          <w:tcPr>
            <w:tcW w:w="2616" w:type="dxa"/>
            <w:tcBorders>
              <w:top w:val="nil"/>
              <w:left w:val="nil"/>
              <w:bottom w:val="nil"/>
              <w:right w:val="nil"/>
            </w:tcBorders>
          </w:tcPr>
          <w:p w14:paraId="4591E95B"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A90E13">
              <w:rPr>
                <w:rFonts w:eastAsiaTheme="minorEastAsia" w:cs="Times New Roman"/>
                <w:sz w:val="20"/>
                <w:szCs w:val="20"/>
                <w:lang w:val="en-US" w:eastAsia="ru-RU"/>
              </w:rPr>
              <w:t>Ability measure</w:t>
            </w:r>
          </w:p>
        </w:tc>
        <w:tc>
          <w:tcPr>
            <w:tcW w:w="2016" w:type="dxa"/>
            <w:tcBorders>
              <w:top w:val="nil"/>
              <w:left w:val="nil"/>
              <w:bottom w:val="nil"/>
              <w:right w:val="nil"/>
            </w:tcBorders>
          </w:tcPr>
          <w:p w14:paraId="09B219F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0.181</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109A93F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0.164</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152A200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0.211</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0C1C5F9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0.221</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378C585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0.196</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1E268AD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0.226</w:t>
            </w:r>
            <w:r w:rsidRPr="00A90E13">
              <w:rPr>
                <w:rFonts w:eastAsiaTheme="minorEastAsia" w:cs="Times New Roman"/>
                <w:sz w:val="20"/>
                <w:szCs w:val="20"/>
                <w:vertAlign w:val="superscript"/>
                <w:lang w:val="en-US" w:eastAsia="ru-RU"/>
              </w:rPr>
              <w:t>***</w:t>
            </w:r>
          </w:p>
        </w:tc>
      </w:tr>
      <w:tr w:rsidR="00A90E13" w:rsidRPr="00A90E13" w14:paraId="328D507B" w14:textId="77777777" w:rsidTr="00D17B7B">
        <w:tc>
          <w:tcPr>
            <w:tcW w:w="2616" w:type="dxa"/>
            <w:tcBorders>
              <w:top w:val="nil"/>
              <w:left w:val="nil"/>
              <w:bottom w:val="nil"/>
              <w:right w:val="nil"/>
            </w:tcBorders>
          </w:tcPr>
          <w:p w14:paraId="5285556C"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602AFF8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(0.010)</w:t>
            </w:r>
          </w:p>
        </w:tc>
        <w:tc>
          <w:tcPr>
            <w:tcW w:w="2016" w:type="dxa"/>
            <w:tcBorders>
              <w:top w:val="nil"/>
              <w:left w:val="nil"/>
              <w:bottom w:val="nil"/>
              <w:right w:val="nil"/>
            </w:tcBorders>
          </w:tcPr>
          <w:p w14:paraId="6C98C79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(0.010)</w:t>
            </w:r>
          </w:p>
        </w:tc>
        <w:tc>
          <w:tcPr>
            <w:tcW w:w="2016" w:type="dxa"/>
            <w:tcBorders>
              <w:top w:val="nil"/>
              <w:left w:val="nil"/>
              <w:bottom w:val="nil"/>
              <w:right w:val="nil"/>
            </w:tcBorders>
          </w:tcPr>
          <w:p w14:paraId="3C2DA98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(0.011)</w:t>
            </w:r>
          </w:p>
        </w:tc>
        <w:tc>
          <w:tcPr>
            <w:tcW w:w="2016" w:type="dxa"/>
            <w:tcBorders>
              <w:top w:val="nil"/>
              <w:left w:val="nil"/>
              <w:bottom w:val="nil"/>
              <w:right w:val="nil"/>
            </w:tcBorders>
          </w:tcPr>
          <w:p w14:paraId="3ECD400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(0.011)</w:t>
            </w:r>
          </w:p>
        </w:tc>
        <w:tc>
          <w:tcPr>
            <w:tcW w:w="2016" w:type="dxa"/>
            <w:tcBorders>
              <w:top w:val="nil"/>
              <w:left w:val="nil"/>
              <w:bottom w:val="nil"/>
              <w:right w:val="nil"/>
            </w:tcBorders>
          </w:tcPr>
          <w:p w14:paraId="631E889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(0.011)</w:t>
            </w:r>
          </w:p>
        </w:tc>
        <w:tc>
          <w:tcPr>
            <w:tcW w:w="2016" w:type="dxa"/>
            <w:tcBorders>
              <w:top w:val="nil"/>
              <w:left w:val="nil"/>
              <w:bottom w:val="nil"/>
              <w:right w:val="nil"/>
            </w:tcBorders>
          </w:tcPr>
          <w:p w14:paraId="256BC5B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(0.011)</w:t>
            </w:r>
          </w:p>
        </w:tc>
      </w:tr>
      <w:tr w:rsidR="00A90E13" w:rsidRPr="00A90E13" w14:paraId="59CD5C4D" w14:textId="77777777" w:rsidTr="00D17B7B">
        <w:tc>
          <w:tcPr>
            <w:tcW w:w="2616" w:type="dxa"/>
            <w:tcBorders>
              <w:top w:val="nil"/>
              <w:left w:val="nil"/>
              <w:bottom w:val="nil"/>
              <w:right w:val="nil"/>
            </w:tcBorders>
          </w:tcPr>
          <w:p w14:paraId="72554557"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A90E13">
              <w:rPr>
                <w:rFonts w:eastAsiaTheme="minorEastAsia" w:cs="Times New Roman"/>
                <w:sz w:val="20"/>
                <w:szCs w:val="20"/>
                <w:lang w:val="en-US" w:eastAsia="ru-RU"/>
              </w:rPr>
              <w:t>Higher social background x Ability measure</w:t>
            </w:r>
          </w:p>
        </w:tc>
        <w:tc>
          <w:tcPr>
            <w:tcW w:w="2016" w:type="dxa"/>
            <w:tcBorders>
              <w:top w:val="nil"/>
              <w:left w:val="nil"/>
              <w:bottom w:val="nil"/>
              <w:right w:val="nil"/>
            </w:tcBorders>
          </w:tcPr>
          <w:p w14:paraId="4C51FF7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0.013</w:t>
            </w:r>
          </w:p>
        </w:tc>
        <w:tc>
          <w:tcPr>
            <w:tcW w:w="2016" w:type="dxa"/>
            <w:tcBorders>
              <w:top w:val="nil"/>
              <w:left w:val="nil"/>
              <w:bottom w:val="nil"/>
              <w:right w:val="nil"/>
            </w:tcBorders>
          </w:tcPr>
          <w:p w14:paraId="00C2181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0.026</w:t>
            </w:r>
          </w:p>
        </w:tc>
        <w:tc>
          <w:tcPr>
            <w:tcW w:w="2016" w:type="dxa"/>
            <w:tcBorders>
              <w:top w:val="nil"/>
              <w:left w:val="nil"/>
              <w:bottom w:val="nil"/>
              <w:right w:val="nil"/>
            </w:tcBorders>
          </w:tcPr>
          <w:p w14:paraId="3122724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–0.024</w:t>
            </w:r>
          </w:p>
        </w:tc>
        <w:tc>
          <w:tcPr>
            <w:tcW w:w="2016" w:type="dxa"/>
            <w:tcBorders>
              <w:top w:val="nil"/>
              <w:left w:val="nil"/>
              <w:bottom w:val="nil"/>
              <w:right w:val="nil"/>
            </w:tcBorders>
          </w:tcPr>
          <w:p w14:paraId="11881FA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–0.024</w:t>
            </w:r>
          </w:p>
        </w:tc>
        <w:tc>
          <w:tcPr>
            <w:tcW w:w="2016" w:type="dxa"/>
            <w:tcBorders>
              <w:top w:val="nil"/>
              <w:left w:val="nil"/>
              <w:bottom w:val="nil"/>
              <w:right w:val="nil"/>
            </w:tcBorders>
          </w:tcPr>
          <w:p w14:paraId="2E32748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–0.009</w:t>
            </w:r>
          </w:p>
        </w:tc>
        <w:tc>
          <w:tcPr>
            <w:tcW w:w="2016" w:type="dxa"/>
            <w:tcBorders>
              <w:top w:val="nil"/>
              <w:left w:val="nil"/>
              <w:bottom w:val="nil"/>
              <w:right w:val="nil"/>
            </w:tcBorders>
          </w:tcPr>
          <w:p w14:paraId="60ACA1F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–0.019</w:t>
            </w:r>
          </w:p>
        </w:tc>
      </w:tr>
      <w:tr w:rsidR="00A90E13" w:rsidRPr="00A90E13" w14:paraId="221695C7" w14:textId="77777777" w:rsidTr="00D17B7B">
        <w:tc>
          <w:tcPr>
            <w:tcW w:w="2616" w:type="dxa"/>
            <w:tcBorders>
              <w:top w:val="nil"/>
              <w:left w:val="nil"/>
              <w:bottom w:val="nil"/>
              <w:right w:val="nil"/>
            </w:tcBorders>
          </w:tcPr>
          <w:p w14:paraId="365ACB9E"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nil"/>
              <w:right w:val="nil"/>
            </w:tcBorders>
          </w:tcPr>
          <w:p w14:paraId="5442377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0B571D5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280C3F4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78E58AD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190C75C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nil"/>
              <w:right w:val="nil"/>
            </w:tcBorders>
          </w:tcPr>
          <w:p w14:paraId="0E104AE9"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r>
      <w:tr w:rsidR="00A90E13" w:rsidRPr="00A90E13" w14:paraId="15385563" w14:textId="77777777" w:rsidTr="00D17B7B">
        <w:tc>
          <w:tcPr>
            <w:tcW w:w="2616" w:type="dxa"/>
            <w:tcBorders>
              <w:top w:val="nil"/>
              <w:left w:val="nil"/>
              <w:bottom w:val="nil"/>
              <w:right w:val="nil"/>
            </w:tcBorders>
          </w:tcPr>
          <w:p w14:paraId="577CB18F"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A90E13">
              <w:rPr>
                <w:rFonts w:eastAsiaTheme="minorEastAsia" w:cs="Times New Roman"/>
                <w:sz w:val="20"/>
                <w:szCs w:val="20"/>
                <w:lang w:val="en-US" w:eastAsia="ru-RU"/>
              </w:rPr>
              <w:t>Constant</w:t>
            </w:r>
          </w:p>
        </w:tc>
        <w:tc>
          <w:tcPr>
            <w:tcW w:w="2016" w:type="dxa"/>
            <w:tcBorders>
              <w:top w:val="nil"/>
              <w:left w:val="nil"/>
              <w:bottom w:val="nil"/>
              <w:right w:val="nil"/>
            </w:tcBorders>
          </w:tcPr>
          <w:p w14:paraId="65B4929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0.339</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5B697EC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0.325</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793282A5"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0.346</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21CADDA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0.413</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7EA6A7F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0.345</w:t>
            </w:r>
            <w:r w:rsidRPr="00A90E13">
              <w:rPr>
                <w:rFonts w:eastAsiaTheme="minorEastAsia" w:cs="Times New Roman"/>
                <w:sz w:val="20"/>
                <w:szCs w:val="20"/>
                <w:vertAlign w:val="superscript"/>
                <w:lang w:val="en-US" w:eastAsia="ru-RU"/>
              </w:rPr>
              <w:t>***</w:t>
            </w:r>
          </w:p>
        </w:tc>
        <w:tc>
          <w:tcPr>
            <w:tcW w:w="2016" w:type="dxa"/>
            <w:tcBorders>
              <w:top w:val="nil"/>
              <w:left w:val="nil"/>
              <w:bottom w:val="nil"/>
              <w:right w:val="nil"/>
            </w:tcBorders>
          </w:tcPr>
          <w:p w14:paraId="5A875798"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0.377</w:t>
            </w:r>
            <w:r w:rsidRPr="00A90E13">
              <w:rPr>
                <w:rFonts w:eastAsiaTheme="minorEastAsia" w:cs="Times New Roman"/>
                <w:sz w:val="20"/>
                <w:szCs w:val="20"/>
                <w:vertAlign w:val="superscript"/>
                <w:lang w:val="en-US" w:eastAsia="ru-RU"/>
              </w:rPr>
              <w:t>***</w:t>
            </w:r>
          </w:p>
        </w:tc>
      </w:tr>
      <w:tr w:rsidR="00A90E13" w:rsidRPr="00A90E13" w14:paraId="15F39987" w14:textId="77777777" w:rsidTr="00D17B7B">
        <w:tc>
          <w:tcPr>
            <w:tcW w:w="2616" w:type="dxa"/>
            <w:tcBorders>
              <w:top w:val="nil"/>
              <w:left w:val="nil"/>
              <w:bottom w:val="single" w:sz="4" w:space="0" w:color="auto"/>
              <w:right w:val="nil"/>
            </w:tcBorders>
          </w:tcPr>
          <w:p w14:paraId="2D307169"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016" w:type="dxa"/>
            <w:tcBorders>
              <w:top w:val="nil"/>
              <w:left w:val="nil"/>
              <w:bottom w:val="single" w:sz="4" w:space="0" w:color="auto"/>
              <w:right w:val="nil"/>
            </w:tcBorders>
          </w:tcPr>
          <w:p w14:paraId="367B96B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3E51046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4523BAA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06BCE94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(0.016)</w:t>
            </w:r>
          </w:p>
        </w:tc>
        <w:tc>
          <w:tcPr>
            <w:tcW w:w="2016" w:type="dxa"/>
            <w:tcBorders>
              <w:top w:val="nil"/>
              <w:left w:val="nil"/>
              <w:bottom w:val="single" w:sz="4" w:space="0" w:color="auto"/>
              <w:right w:val="nil"/>
            </w:tcBorders>
          </w:tcPr>
          <w:p w14:paraId="184DC9E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c>
          <w:tcPr>
            <w:tcW w:w="2016" w:type="dxa"/>
            <w:tcBorders>
              <w:top w:val="nil"/>
              <w:left w:val="nil"/>
              <w:bottom w:val="single" w:sz="4" w:space="0" w:color="auto"/>
              <w:right w:val="nil"/>
            </w:tcBorders>
          </w:tcPr>
          <w:p w14:paraId="7B480BA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(0.015)</w:t>
            </w:r>
          </w:p>
        </w:tc>
      </w:tr>
      <w:tr w:rsidR="00A90E13" w:rsidRPr="00A90E13" w14:paraId="43689434" w14:textId="77777777" w:rsidTr="00D17B7B">
        <w:tc>
          <w:tcPr>
            <w:tcW w:w="2616" w:type="dxa"/>
            <w:tcBorders>
              <w:top w:val="single" w:sz="4" w:space="0" w:color="auto"/>
              <w:left w:val="nil"/>
              <w:bottom w:val="nil"/>
              <w:right w:val="nil"/>
            </w:tcBorders>
          </w:tcPr>
          <w:p w14:paraId="3D5588C4"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A90E13">
              <w:rPr>
                <w:rFonts w:eastAsiaTheme="minorEastAsia" w:cs="Times New Roman"/>
                <w:sz w:val="20"/>
                <w:szCs w:val="20"/>
                <w:lang w:val="en-US" w:eastAsia="ru-RU"/>
              </w:rPr>
              <w:t>F</w:t>
            </w:r>
          </w:p>
        </w:tc>
        <w:tc>
          <w:tcPr>
            <w:tcW w:w="2016" w:type="dxa"/>
            <w:tcBorders>
              <w:top w:val="single" w:sz="4" w:space="0" w:color="auto"/>
              <w:left w:val="nil"/>
              <w:bottom w:val="nil"/>
              <w:right w:val="nil"/>
            </w:tcBorders>
          </w:tcPr>
          <w:p w14:paraId="156C8DF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224.7***</w:t>
            </w:r>
          </w:p>
        </w:tc>
        <w:tc>
          <w:tcPr>
            <w:tcW w:w="2016" w:type="dxa"/>
            <w:tcBorders>
              <w:top w:val="single" w:sz="4" w:space="0" w:color="auto"/>
              <w:left w:val="nil"/>
              <w:bottom w:val="nil"/>
              <w:right w:val="nil"/>
            </w:tcBorders>
          </w:tcPr>
          <w:p w14:paraId="008DF5A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208.6***</w:t>
            </w:r>
          </w:p>
        </w:tc>
        <w:tc>
          <w:tcPr>
            <w:tcW w:w="2016" w:type="dxa"/>
            <w:tcBorders>
              <w:top w:val="single" w:sz="4" w:space="0" w:color="auto"/>
              <w:left w:val="nil"/>
              <w:bottom w:val="nil"/>
              <w:right w:val="nil"/>
            </w:tcBorders>
          </w:tcPr>
          <w:p w14:paraId="6115A364"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220.8***</w:t>
            </w:r>
          </w:p>
        </w:tc>
        <w:tc>
          <w:tcPr>
            <w:tcW w:w="2016" w:type="dxa"/>
            <w:tcBorders>
              <w:top w:val="single" w:sz="4" w:space="0" w:color="auto"/>
              <w:left w:val="nil"/>
              <w:bottom w:val="nil"/>
              <w:right w:val="nil"/>
            </w:tcBorders>
          </w:tcPr>
          <w:p w14:paraId="162A151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223.9***</w:t>
            </w:r>
          </w:p>
        </w:tc>
        <w:tc>
          <w:tcPr>
            <w:tcW w:w="2016" w:type="dxa"/>
            <w:tcBorders>
              <w:top w:val="single" w:sz="4" w:space="0" w:color="auto"/>
              <w:left w:val="nil"/>
              <w:bottom w:val="nil"/>
              <w:right w:val="nil"/>
            </w:tcBorders>
          </w:tcPr>
          <w:p w14:paraId="6778BA0C"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205.2***</w:t>
            </w:r>
          </w:p>
        </w:tc>
        <w:tc>
          <w:tcPr>
            <w:tcW w:w="2016" w:type="dxa"/>
            <w:tcBorders>
              <w:top w:val="single" w:sz="4" w:space="0" w:color="auto"/>
              <w:left w:val="nil"/>
              <w:bottom w:val="nil"/>
              <w:right w:val="nil"/>
            </w:tcBorders>
          </w:tcPr>
          <w:p w14:paraId="1D864743"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247.3***</w:t>
            </w:r>
          </w:p>
        </w:tc>
      </w:tr>
      <w:tr w:rsidR="00A90E13" w:rsidRPr="00A90E13" w14:paraId="5D0A9922" w14:textId="77777777" w:rsidTr="00D17B7B">
        <w:tc>
          <w:tcPr>
            <w:tcW w:w="2616" w:type="dxa"/>
            <w:tcBorders>
              <w:top w:val="nil"/>
              <w:left w:val="nil"/>
              <w:bottom w:val="nil"/>
              <w:right w:val="nil"/>
            </w:tcBorders>
          </w:tcPr>
          <w:p w14:paraId="1E0A77F1"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A90E13">
              <w:rPr>
                <w:rFonts w:eastAsiaTheme="minorEastAsia" w:cs="Times New Roman"/>
                <w:sz w:val="20"/>
                <w:szCs w:val="20"/>
                <w:lang w:val="en-US" w:eastAsia="ru-RU"/>
              </w:rPr>
              <w:t>R</w:t>
            </w:r>
            <w:r w:rsidRPr="00A90E13">
              <w:rPr>
                <w:rFonts w:eastAsiaTheme="minorEastAsia" w:cs="Times New Roman"/>
                <w:sz w:val="20"/>
                <w:szCs w:val="20"/>
                <w:vertAlign w:val="superscript"/>
                <w:lang w:val="en-US" w:eastAsia="ru-RU"/>
              </w:rPr>
              <w:t>2</w:t>
            </w:r>
          </w:p>
        </w:tc>
        <w:tc>
          <w:tcPr>
            <w:tcW w:w="2016" w:type="dxa"/>
            <w:tcBorders>
              <w:top w:val="nil"/>
              <w:left w:val="nil"/>
              <w:bottom w:val="nil"/>
              <w:right w:val="nil"/>
            </w:tcBorders>
          </w:tcPr>
          <w:p w14:paraId="12A8255B"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0.264</w:t>
            </w:r>
          </w:p>
        </w:tc>
        <w:tc>
          <w:tcPr>
            <w:tcW w:w="2016" w:type="dxa"/>
            <w:tcBorders>
              <w:top w:val="nil"/>
              <w:left w:val="nil"/>
              <w:bottom w:val="nil"/>
              <w:right w:val="nil"/>
            </w:tcBorders>
          </w:tcPr>
          <w:p w14:paraId="57ADCE8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0.249</w:t>
            </w:r>
          </w:p>
        </w:tc>
        <w:tc>
          <w:tcPr>
            <w:tcW w:w="2016" w:type="dxa"/>
            <w:tcBorders>
              <w:top w:val="nil"/>
              <w:left w:val="nil"/>
              <w:bottom w:val="nil"/>
              <w:right w:val="nil"/>
            </w:tcBorders>
          </w:tcPr>
          <w:p w14:paraId="41D7F86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0.275</w:t>
            </w:r>
          </w:p>
        </w:tc>
        <w:tc>
          <w:tcPr>
            <w:tcW w:w="2016" w:type="dxa"/>
            <w:tcBorders>
              <w:top w:val="nil"/>
              <w:left w:val="nil"/>
              <w:bottom w:val="nil"/>
              <w:right w:val="nil"/>
            </w:tcBorders>
          </w:tcPr>
          <w:p w14:paraId="1561D44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0.277</w:t>
            </w:r>
          </w:p>
        </w:tc>
        <w:tc>
          <w:tcPr>
            <w:tcW w:w="2016" w:type="dxa"/>
            <w:tcBorders>
              <w:top w:val="nil"/>
              <w:left w:val="nil"/>
              <w:bottom w:val="nil"/>
              <w:right w:val="nil"/>
            </w:tcBorders>
          </w:tcPr>
          <w:p w14:paraId="65194C2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0.260</w:t>
            </w:r>
          </w:p>
        </w:tc>
        <w:tc>
          <w:tcPr>
            <w:tcW w:w="2016" w:type="dxa"/>
            <w:tcBorders>
              <w:top w:val="nil"/>
              <w:left w:val="nil"/>
              <w:bottom w:val="nil"/>
              <w:right w:val="nil"/>
            </w:tcBorders>
          </w:tcPr>
          <w:p w14:paraId="168A91D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0.298</w:t>
            </w:r>
          </w:p>
        </w:tc>
      </w:tr>
      <w:tr w:rsidR="00A90E13" w:rsidRPr="00A90E13" w14:paraId="01F73D3E" w14:textId="77777777" w:rsidTr="00D17B7B">
        <w:tc>
          <w:tcPr>
            <w:tcW w:w="1998" w:type="dxa"/>
            <w:tcBorders>
              <w:top w:val="nil"/>
              <w:left w:val="nil"/>
              <w:bottom w:val="nil"/>
              <w:right w:val="nil"/>
            </w:tcBorders>
          </w:tcPr>
          <w:p w14:paraId="7AA1A2FC"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proofErr w:type="spellStart"/>
            <w:r w:rsidRPr="00A90E13">
              <w:rPr>
                <w:rFonts w:eastAsiaTheme="minorEastAsia" w:cs="Times New Roman"/>
                <w:i/>
                <w:iCs/>
                <w:sz w:val="20"/>
                <w:szCs w:val="20"/>
                <w:lang w:val="en-US" w:eastAsia="ru-RU"/>
              </w:rPr>
              <w:t>df</w:t>
            </w:r>
            <w:proofErr w:type="spellEnd"/>
          </w:p>
        </w:tc>
        <w:tc>
          <w:tcPr>
            <w:tcW w:w="1554" w:type="dxa"/>
            <w:tcBorders>
              <w:top w:val="nil"/>
              <w:left w:val="nil"/>
              <w:bottom w:val="nil"/>
              <w:right w:val="nil"/>
            </w:tcBorders>
          </w:tcPr>
          <w:p w14:paraId="25F6A47F"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6</w:t>
            </w:r>
          </w:p>
        </w:tc>
        <w:tc>
          <w:tcPr>
            <w:tcW w:w="1554" w:type="dxa"/>
            <w:tcBorders>
              <w:top w:val="nil"/>
              <w:left w:val="nil"/>
              <w:bottom w:val="nil"/>
              <w:right w:val="nil"/>
            </w:tcBorders>
          </w:tcPr>
          <w:p w14:paraId="021154D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6</w:t>
            </w:r>
          </w:p>
        </w:tc>
        <w:tc>
          <w:tcPr>
            <w:tcW w:w="1554" w:type="dxa"/>
            <w:tcBorders>
              <w:top w:val="nil"/>
              <w:left w:val="nil"/>
              <w:bottom w:val="nil"/>
              <w:right w:val="nil"/>
            </w:tcBorders>
          </w:tcPr>
          <w:p w14:paraId="6DF142A7"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6</w:t>
            </w:r>
          </w:p>
        </w:tc>
        <w:tc>
          <w:tcPr>
            <w:tcW w:w="1554" w:type="dxa"/>
            <w:tcBorders>
              <w:top w:val="nil"/>
              <w:left w:val="nil"/>
              <w:bottom w:val="nil"/>
              <w:right w:val="nil"/>
            </w:tcBorders>
          </w:tcPr>
          <w:p w14:paraId="5B96EC7E"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6</w:t>
            </w:r>
          </w:p>
        </w:tc>
        <w:tc>
          <w:tcPr>
            <w:tcW w:w="1554" w:type="dxa"/>
            <w:tcBorders>
              <w:top w:val="nil"/>
              <w:left w:val="nil"/>
              <w:bottom w:val="nil"/>
              <w:right w:val="nil"/>
            </w:tcBorders>
          </w:tcPr>
          <w:p w14:paraId="47FB76DD"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6</w:t>
            </w:r>
          </w:p>
        </w:tc>
        <w:tc>
          <w:tcPr>
            <w:tcW w:w="1554" w:type="dxa"/>
            <w:tcBorders>
              <w:top w:val="nil"/>
              <w:left w:val="nil"/>
              <w:bottom w:val="nil"/>
              <w:right w:val="nil"/>
            </w:tcBorders>
          </w:tcPr>
          <w:p w14:paraId="150BD50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6</w:t>
            </w:r>
          </w:p>
        </w:tc>
      </w:tr>
      <w:tr w:rsidR="00A90E13" w:rsidRPr="00A90E13" w14:paraId="78D69350" w14:textId="77777777" w:rsidTr="00D17B7B">
        <w:tc>
          <w:tcPr>
            <w:tcW w:w="1998" w:type="dxa"/>
            <w:tcBorders>
              <w:top w:val="nil"/>
              <w:left w:val="nil"/>
              <w:bottom w:val="single" w:sz="4" w:space="0" w:color="auto"/>
              <w:right w:val="nil"/>
            </w:tcBorders>
          </w:tcPr>
          <w:p w14:paraId="04F517A5" w14:textId="77777777" w:rsidR="00A90E13" w:rsidRPr="00A90E13" w:rsidRDefault="00A90E13" w:rsidP="00A90E13">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A90E13">
              <w:rPr>
                <w:rFonts w:eastAsiaTheme="minorEastAsia" w:cs="Times New Roman"/>
                <w:sz w:val="20"/>
                <w:szCs w:val="20"/>
                <w:lang w:val="en-US" w:eastAsia="ru-RU"/>
              </w:rPr>
              <w:t>N</w:t>
            </w:r>
          </w:p>
        </w:tc>
        <w:tc>
          <w:tcPr>
            <w:tcW w:w="1554" w:type="dxa"/>
            <w:tcBorders>
              <w:top w:val="nil"/>
              <w:left w:val="nil"/>
              <w:bottom w:val="single" w:sz="4" w:space="0" w:color="auto"/>
              <w:right w:val="nil"/>
            </w:tcBorders>
          </w:tcPr>
          <w:p w14:paraId="4998B730"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3,772</w:t>
            </w:r>
          </w:p>
        </w:tc>
        <w:tc>
          <w:tcPr>
            <w:tcW w:w="1554" w:type="dxa"/>
            <w:tcBorders>
              <w:top w:val="nil"/>
              <w:left w:val="nil"/>
              <w:bottom w:val="single" w:sz="4" w:space="0" w:color="auto"/>
              <w:right w:val="nil"/>
            </w:tcBorders>
          </w:tcPr>
          <w:p w14:paraId="02B8774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3,772</w:t>
            </w:r>
          </w:p>
        </w:tc>
        <w:tc>
          <w:tcPr>
            <w:tcW w:w="1554" w:type="dxa"/>
            <w:tcBorders>
              <w:top w:val="nil"/>
              <w:left w:val="nil"/>
              <w:bottom w:val="single" w:sz="4" w:space="0" w:color="auto"/>
              <w:right w:val="nil"/>
            </w:tcBorders>
          </w:tcPr>
          <w:p w14:paraId="79C50F52"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3,505</w:t>
            </w:r>
          </w:p>
        </w:tc>
        <w:tc>
          <w:tcPr>
            <w:tcW w:w="1554" w:type="dxa"/>
            <w:tcBorders>
              <w:top w:val="nil"/>
              <w:left w:val="nil"/>
              <w:bottom w:val="single" w:sz="4" w:space="0" w:color="auto"/>
              <w:right w:val="nil"/>
            </w:tcBorders>
          </w:tcPr>
          <w:p w14:paraId="17E9BAE6"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3,505</w:t>
            </w:r>
          </w:p>
        </w:tc>
        <w:tc>
          <w:tcPr>
            <w:tcW w:w="1554" w:type="dxa"/>
            <w:tcBorders>
              <w:top w:val="nil"/>
              <w:left w:val="nil"/>
              <w:bottom w:val="single" w:sz="4" w:space="0" w:color="auto"/>
              <w:right w:val="nil"/>
            </w:tcBorders>
          </w:tcPr>
          <w:p w14:paraId="7CB3C891"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3,505</w:t>
            </w:r>
          </w:p>
        </w:tc>
        <w:tc>
          <w:tcPr>
            <w:tcW w:w="1554" w:type="dxa"/>
            <w:tcBorders>
              <w:top w:val="nil"/>
              <w:left w:val="nil"/>
              <w:bottom w:val="single" w:sz="4" w:space="0" w:color="auto"/>
              <w:right w:val="nil"/>
            </w:tcBorders>
          </w:tcPr>
          <w:p w14:paraId="182259AA" w14:textId="77777777" w:rsidR="00A90E13" w:rsidRPr="00A90E13" w:rsidRDefault="00A90E13" w:rsidP="00A90E13">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A90E13">
              <w:rPr>
                <w:rFonts w:eastAsiaTheme="minorEastAsia" w:cs="Times New Roman"/>
                <w:sz w:val="20"/>
                <w:szCs w:val="20"/>
                <w:lang w:val="en-US" w:eastAsia="ru-RU"/>
              </w:rPr>
              <w:t>3,505</w:t>
            </w:r>
          </w:p>
        </w:tc>
      </w:tr>
    </w:tbl>
    <w:p w14:paraId="5ADE6BFB" w14:textId="77777777" w:rsidR="00A90E13" w:rsidRPr="00A90E13" w:rsidRDefault="00A90E13" w:rsidP="00A90E13">
      <w:pPr>
        <w:keepNext/>
        <w:widowControl w:val="0"/>
        <w:autoSpaceDE w:val="0"/>
        <w:autoSpaceDN w:val="0"/>
        <w:adjustRightInd w:val="0"/>
        <w:spacing w:line="240" w:lineRule="auto"/>
        <w:ind w:firstLine="0"/>
        <w:jc w:val="left"/>
        <w:rPr>
          <w:rFonts w:eastAsiaTheme="minorEastAsia" w:cs="Times New Roman"/>
          <w:b/>
          <w:sz w:val="20"/>
          <w:szCs w:val="20"/>
          <w:lang w:val="en-US" w:eastAsia="ru-RU"/>
        </w:rPr>
      </w:pPr>
      <w:r w:rsidRPr="00A90E13">
        <w:rPr>
          <w:rFonts w:eastAsiaTheme="minorEastAsia" w:cs="Times New Roman"/>
          <w:i/>
          <w:iCs/>
          <w:sz w:val="20"/>
          <w:szCs w:val="20"/>
          <w:lang w:val="en-US" w:eastAsia="ru-RU"/>
        </w:rPr>
        <w:t xml:space="preserve">Notes: </w:t>
      </w:r>
      <w:r w:rsidRPr="00A90E13">
        <w:rPr>
          <w:rFonts w:eastAsiaTheme="minorEastAsia" w:cs="Times New Roman"/>
          <w:sz w:val="20"/>
          <w:szCs w:val="20"/>
          <w:lang w:val="en-US" w:eastAsia="ru-RU"/>
        </w:rPr>
        <w:t xml:space="preserve">All models include controls for sex and TIMSS residence area (suppressed in tables). Main values are OLS regression coefficients. Standard errors provided in parentheses. </w:t>
      </w:r>
      <w:r w:rsidRPr="00A90E13">
        <w:rPr>
          <w:rFonts w:eastAsiaTheme="minorEastAsia" w:cs="Times New Roman"/>
          <w:i/>
          <w:sz w:val="20"/>
          <w:szCs w:val="20"/>
          <w:lang w:val="en-US" w:eastAsia="ru-RU"/>
        </w:rPr>
        <w:t xml:space="preserve">Source: </w:t>
      </w:r>
      <w:proofErr w:type="spellStart"/>
      <w:r w:rsidRPr="00A90E13">
        <w:rPr>
          <w:rFonts w:eastAsiaTheme="minorEastAsia" w:cs="Times New Roman"/>
          <w:sz w:val="20"/>
          <w:szCs w:val="20"/>
          <w:lang w:val="en-US" w:eastAsia="ru-RU"/>
        </w:rPr>
        <w:t>TrEC</w:t>
      </w:r>
      <w:proofErr w:type="spellEnd"/>
      <w:r w:rsidRPr="00A90E13">
        <w:rPr>
          <w:rFonts w:eastAsiaTheme="minorEastAsia" w:cs="Times New Roman"/>
          <w:sz w:val="20"/>
          <w:szCs w:val="20"/>
          <w:lang w:val="en-US" w:eastAsia="ru-RU"/>
        </w:rPr>
        <w:t xml:space="preserve">; own calculations. </w:t>
      </w:r>
      <w:r w:rsidRPr="00A90E13">
        <w:rPr>
          <w:rFonts w:eastAsiaTheme="minorEastAsia" w:cs="Times New Roman"/>
          <w:sz w:val="20"/>
          <w:szCs w:val="20"/>
          <w:vertAlign w:val="superscript"/>
          <w:lang w:val="en-US" w:eastAsia="ru-RU"/>
        </w:rPr>
        <w:t>*</w:t>
      </w:r>
      <w:r w:rsidRPr="00A90E13">
        <w:rPr>
          <w:rFonts w:eastAsiaTheme="minorEastAsia" w:cs="Times New Roman"/>
          <w:sz w:val="20"/>
          <w:szCs w:val="20"/>
          <w:lang w:val="en-US" w:eastAsia="ru-RU"/>
        </w:rPr>
        <w:t xml:space="preserve"> </w:t>
      </w:r>
      <w:proofErr w:type="gramStart"/>
      <w:r w:rsidRPr="00A90E13">
        <w:rPr>
          <w:rFonts w:eastAsiaTheme="minorEastAsia" w:cs="Times New Roman"/>
          <w:i/>
          <w:iCs/>
          <w:sz w:val="20"/>
          <w:szCs w:val="20"/>
          <w:lang w:val="en-US" w:eastAsia="ru-RU"/>
        </w:rPr>
        <w:t>p</w:t>
      </w:r>
      <w:proofErr w:type="gramEnd"/>
      <w:r w:rsidRPr="00A90E13">
        <w:rPr>
          <w:rFonts w:eastAsiaTheme="minorEastAsia" w:cs="Times New Roman"/>
          <w:sz w:val="20"/>
          <w:szCs w:val="20"/>
          <w:lang w:val="en-US" w:eastAsia="ru-RU"/>
        </w:rPr>
        <w:t xml:space="preserve"> &lt; 0.05, </w:t>
      </w:r>
      <w:r w:rsidRPr="00A90E13">
        <w:rPr>
          <w:rFonts w:eastAsiaTheme="minorEastAsia" w:cs="Times New Roman"/>
          <w:sz w:val="20"/>
          <w:szCs w:val="20"/>
          <w:vertAlign w:val="superscript"/>
          <w:lang w:val="en-US" w:eastAsia="ru-RU"/>
        </w:rPr>
        <w:t>**</w:t>
      </w:r>
      <w:r w:rsidRPr="00A90E13">
        <w:rPr>
          <w:rFonts w:eastAsiaTheme="minorEastAsia" w:cs="Times New Roman"/>
          <w:sz w:val="20"/>
          <w:szCs w:val="20"/>
          <w:lang w:val="en-US" w:eastAsia="ru-RU"/>
        </w:rPr>
        <w:t xml:space="preserve"> </w:t>
      </w:r>
      <w:r w:rsidRPr="00A90E13">
        <w:rPr>
          <w:rFonts w:eastAsiaTheme="minorEastAsia" w:cs="Times New Roman"/>
          <w:i/>
          <w:iCs/>
          <w:sz w:val="20"/>
          <w:szCs w:val="20"/>
          <w:lang w:val="en-US" w:eastAsia="ru-RU"/>
        </w:rPr>
        <w:t>p</w:t>
      </w:r>
      <w:r w:rsidRPr="00A90E13">
        <w:rPr>
          <w:rFonts w:eastAsiaTheme="minorEastAsia" w:cs="Times New Roman"/>
          <w:sz w:val="20"/>
          <w:szCs w:val="20"/>
          <w:lang w:val="en-US" w:eastAsia="ru-RU"/>
        </w:rPr>
        <w:t xml:space="preserve"> &lt; 0.01, </w:t>
      </w:r>
      <w:r w:rsidRPr="00A90E13">
        <w:rPr>
          <w:rFonts w:eastAsiaTheme="minorEastAsia" w:cs="Times New Roman"/>
          <w:sz w:val="20"/>
          <w:szCs w:val="20"/>
          <w:vertAlign w:val="superscript"/>
          <w:lang w:val="en-US" w:eastAsia="ru-RU"/>
        </w:rPr>
        <w:t>***</w:t>
      </w:r>
      <w:r w:rsidRPr="00A90E13">
        <w:rPr>
          <w:rFonts w:eastAsiaTheme="minorEastAsia" w:cs="Times New Roman"/>
          <w:sz w:val="20"/>
          <w:szCs w:val="20"/>
          <w:lang w:val="en-US" w:eastAsia="ru-RU"/>
        </w:rPr>
        <w:t xml:space="preserve"> </w:t>
      </w:r>
      <w:r w:rsidRPr="00A90E13">
        <w:rPr>
          <w:rFonts w:eastAsiaTheme="minorEastAsia" w:cs="Times New Roman"/>
          <w:i/>
          <w:iCs/>
          <w:sz w:val="20"/>
          <w:szCs w:val="20"/>
          <w:lang w:val="en-US" w:eastAsia="ru-RU"/>
        </w:rPr>
        <w:t>p</w:t>
      </w:r>
      <w:r w:rsidRPr="00A90E13">
        <w:rPr>
          <w:rFonts w:eastAsiaTheme="minorEastAsia" w:cs="Times New Roman"/>
          <w:sz w:val="20"/>
          <w:szCs w:val="20"/>
          <w:lang w:val="en-US" w:eastAsia="ru-RU"/>
        </w:rPr>
        <w:t xml:space="preserve"> &lt; 0.001</w:t>
      </w:r>
    </w:p>
    <w:p w14:paraId="4BDD4B4A" w14:textId="77777777" w:rsidR="00A90E13" w:rsidRDefault="00A90E13" w:rsidP="00C35151">
      <w:pPr>
        <w:ind w:firstLine="0"/>
        <w:rPr>
          <w:lang w:val="en-US"/>
        </w:rPr>
      </w:pPr>
    </w:p>
    <w:p w14:paraId="281F7FD8" w14:textId="77777777" w:rsidR="000849BC" w:rsidRDefault="000849BC">
      <w:pPr>
        <w:spacing w:after="200" w:line="276" w:lineRule="auto"/>
        <w:ind w:firstLine="0"/>
        <w:jc w:val="left"/>
        <w:rPr>
          <w:rFonts w:eastAsiaTheme="minorEastAsia" w:cs="Times New Roman"/>
          <w:b/>
          <w:szCs w:val="24"/>
          <w:lang w:val="en-US" w:eastAsia="ru-RU"/>
        </w:rPr>
      </w:pPr>
      <w:r>
        <w:rPr>
          <w:rFonts w:eastAsiaTheme="minorEastAsia" w:cs="Times New Roman"/>
          <w:b/>
          <w:szCs w:val="24"/>
          <w:lang w:val="en-US" w:eastAsia="ru-RU"/>
        </w:rPr>
        <w:br w:type="page"/>
      </w:r>
    </w:p>
    <w:p w14:paraId="6FDAFB43" w14:textId="6E2BF9EA" w:rsidR="000849BC" w:rsidRPr="000849BC" w:rsidRDefault="000849BC" w:rsidP="000849BC">
      <w:pPr>
        <w:keepNext/>
        <w:widowControl w:val="0"/>
        <w:autoSpaceDE w:val="0"/>
        <w:autoSpaceDN w:val="0"/>
        <w:adjustRightInd w:val="0"/>
        <w:spacing w:line="240" w:lineRule="auto"/>
        <w:ind w:firstLine="0"/>
        <w:jc w:val="left"/>
        <w:rPr>
          <w:rFonts w:eastAsiaTheme="minorEastAsia" w:cs="Times New Roman"/>
          <w:b/>
          <w:szCs w:val="24"/>
          <w:lang w:val="en-US" w:eastAsia="ru-RU"/>
        </w:rPr>
      </w:pPr>
      <w:r w:rsidRPr="000849BC">
        <w:rPr>
          <w:rFonts w:eastAsiaTheme="minorEastAsia" w:cs="Times New Roman"/>
          <w:b/>
          <w:szCs w:val="24"/>
          <w:lang w:val="en-US" w:eastAsia="ru-RU"/>
        </w:rPr>
        <w:lastRenderedPageBreak/>
        <w:t>Table A.5. Multinomial regression models of real educational pathways with interaction term (vocational pathway as baseline outcome, ability measures as quintiles)</w:t>
      </w:r>
    </w:p>
    <w:p w14:paraId="3EE626BC" w14:textId="77777777" w:rsidR="000849BC" w:rsidRPr="000849BC" w:rsidRDefault="000849BC" w:rsidP="000849BC">
      <w:pPr>
        <w:keepNext/>
        <w:widowControl w:val="0"/>
        <w:autoSpaceDE w:val="0"/>
        <w:autoSpaceDN w:val="0"/>
        <w:adjustRightInd w:val="0"/>
        <w:spacing w:line="240" w:lineRule="auto"/>
        <w:ind w:firstLine="0"/>
        <w:jc w:val="left"/>
        <w:rPr>
          <w:rFonts w:eastAsiaTheme="minorEastAsia" w:cs="Times New Roman"/>
          <w:sz w:val="20"/>
          <w:szCs w:val="20"/>
          <w:lang w:val="en-US" w:eastAsia="ru-RU"/>
        </w:rPr>
      </w:pPr>
    </w:p>
    <w:tbl>
      <w:tblPr>
        <w:tblW w:w="5000" w:type="pct"/>
        <w:tblLayout w:type="fixed"/>
        <w:tblLook w:val="0000" w:firstRow="0" w:lastRow="0" w:firstColumn="0" w:lastColumn="0" w:noHBand="0" w:noVBand="0"/>
      </w:tblPr>
      <w:tblGrid>
        <w:gridCol w:w="1628"/>
        <w:gridCol w:w="1277"/>
        <w:gridCol w:w="1277"/>
        <w:gridCol w:w="1276"/>
        <w:gridCol w:w="1276"/>
        <w:gridCol w:w="1276"/>
        <w:gridCol w:w="1276"/>
      </w:tblGrid>
      <w:tr w:rsidR="000849BC" w:rsidRPr="000849BC" w14:paraId="309FED97" w14:textId="77777777" w:rsidTr="00D17B7B">
        <w:tc>
          <w:tcPr>
            <w:tcW w:w="1688" w:type="dxa"/>
            <w:tcBorders>
              <w:top w:val="single" w:sz="4" w:space="0" w:color="auto"/>
              <w:left w:val="nil"/>
              <w:bottom w:val="nil"/>
              <w:right w:val="nil"/>
            </w:tcBorders>
          </w:tcPr>
          <w:p w14:paraId="1E68DBA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1322" w:type="dxa"/>
            <w:tcBorders>
              <w:top w:val="single" w:sz="4" w:space="0" w:color="auto"/>
              <w:left w:val="nil"/>
              <w:bottom w:val="nil"/>
              <w:right w:val="nil"/>
            </w:tcBorders>
          </w:tcPr>
          <w:p w14:paraId="37BE877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w:t>
            </w:r>
          </w:p>
        </w:tc>
        <w:tc>
          <w:tcPr>
            <w:tcW w:w="1322" w:type="dxa"/>
            <w:tcBorders>
              <w:top w:val="single" w:sz="4" w:space="0" w:color="auto"/>
              <w:left w:val="nil"/>
              <w:bottom w:val="nil"/>
              <w:right w:val="nil"/>
            </w:tcBorders>
          </w:tcPr>
          <w:p w14:paraId="235F506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w:t>
            </w:r>
          </w:p>
        </w:tc>
        <w:tc>
          <w:tcPr>
            <w:tcW w:w="1322" w:type="dxa"/>
            <w:tcBorders>
              <w:top w:val="single" w:sz="4" w:space="0" w:color="auto"/>
              <w:left w:val="nil"/>
              <w:bottom w:val="nil"/>
              <w:right w:val="nil"/>
            </w:tcBorders>
          </w:tcPr>
          <w:p w14:paraId="1A9D0C9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(3)</w:t>
            </w:r>
          </w:p>
        </w:tc>
        <w:tc>
          <w:tcPr>
            <w:tcW w:w="1322" w:type="dxa"/>
            <w:tcBorders>
              <w:top w:val="single" w:sz="4" w:space="0" w:color="auto"/>
              <w:left w:val="nil"/>
              <w:bottom w:val="nil"/>
              <w:right w:val="nil"/>
            </w:tcBorders>
          </w:tcPr>
          <w:p w14:paraId="15F7B52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w:t>
            </w:r>
          </w:p>
        </w:tc>
        <w:tc>
          <w:tcPr>
            <w:tcW w:w="1322" w:type="dxa"/>
            <w:tcBorders>
              <w:top w:val="single" w:sz="4" w:space="0" w:color="auto"/>
              <w:left w:val="nil"/>
              <w:bottom w:val="nil"/>
              <w:right w:val="nil"/>
            </w:tcBorders>
          </w:tcPr>
          <w:p w14:paraId="5AEE300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(5)</w:t>
            </w:r>
          </w:p>
        </w:tc>
        <w:tc>
          <w:tcPr>
            <w:tcW w:w="1322" w:type="dxa"/>
            <w:tcBorders>
              <w:top w:val="single" w:sz="4" w:space="0" w:color="auto"/>
              <w:left w:val="nil"/>
              <w:bottom w:val="nil"/>
              <w:right w:val="nil"/>
            </w:tcBorders>
          </w:tcPr>
          <w:p w14:paraId="7EB63F1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(6)</w:t>
            </w:r>
          </w:p>
        </w:tc>
      </w:tr>
      <w:tr w:rsidR="000849BC" w:rsidRPr="000849BC" w14:paraId="0D52D570" w14:textId="77777777" w:rsidTr="00D17B7B">
        <w:tc>
          <w:tcPr>
            <w:tcW w:w="1688" w:type="dxa"/>
            <w:tcBorders>
              <w:top w:val="nil"/>
              <w:left w:val="nil"/>
              <w:bottom w:val="nil"/>
              <w:right w:val="nil"/>
            </w:tcBorders>
          </w:tcPr>
          <w:p w14:paraId="026A7A39"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1322" w:type="dxa"/>
            <w:tcBorders>
              <w:top w:val="nil"/>
              <w:left w:val="nil"/>
              <w:bottom w:val="nil"/>
              <w:right w:val="nil"/>
            </w:tcBorders>
          </w:tcPr>
          <w:p w14:paraId="49DF914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TIMSS math score </w:t>
            </w:r>
          </w:p>
        </w:tc>
        <w:tc>
          <w:tcPr>
            <w:tcW w:w="1322" w:type="dxa"/>
            <w:tcBorders>
              <w:top w:val="nil"/>
              <w:left w:val="nil"/>
              <w:bottom w:val="nil"/>
              <w:right w:val="nil"/>
            </w:tcBorders>
          </w:tcPr>
          <w:p w14:paraId="20D64AD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TIMSS science score </w:t>
            </w:r>
          </w:p>
        </w:tc>
        <w:tc>
          <w:tcPr>
            <w:tcW w:w="1322" w:type="dxa"/>
            <w:tcBorders>
              <w:top w:val="nil"/>
              <w:left w:val="nil"/>
              <w:bottom w:val="nil"/>
              <w:right w:val="nil"/>
            </w:tcBorders>
          </w:tcPr>
          <w:p w14:paraId="5800C02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PISA math score </w:t>
            </w:r>
          </w:p>
        </w:tc>
        <w:tc>
          <w:tcPr>
            <w:tcW w:w="1322" w:type="dxa"/>
            <w:tcBorders>
              <w:top w:val="nil"/>
              <w:left w:val="nil"/>
              <w:bottom w:val="nil"/>
              <w:right w:val="nil"/>
            </w:tcBorders>
          </w:tcPr>
          <w:p w14:paraId="2FD7EFD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PISA reading score </w:t>
            </w:r>
          </w:p>
        </w:tc>
        <w:tc>
          <w:tcPr>
            <w:tcW w:w="1322" w:type="dxa"/>
            <w:tcBorders>
              <w:top w:val="nil"/>
              <w:left w:val="nil"/>
              <w:bottom w:val="nil"/>
              <w:right w:val="nil"/>
            </w:tcBorders>
          </w:tcPr>
          <w:p w14:paraId="0A19890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PISA science score </w:t>
            </w:r>
          </w:p>
        </w:tc>
        <w:tc>
          <w:tcPr>
            <w:tcW w:w="1322" w:type="dxa"/>
            <w:tcBorders>
              <w:top w:val="nil"/>
              <w:left w:val="nil"/>
              <w:bottom w:val="nil"/>
              <w:right w:val="nil"/>
            </w:tcBorders>
          </w:tcPr>
          <w:p w14:paraId="10AB0E5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Composite ability measure </w:t>
            </w:r>
          </w:p>
        </w:tc>
      </w:tr>
      <w:tr w:rsidR="000849BC" w:rsidRPr="000849BC" w14:paraId="5DF7005E" w14:textId="77777777" w:rsidTr="00D17B7B">
        <w:tc>
          <w:tcPr>
            <w:tcW w:w="9620" w:type="dxa"/>
            <w:gridSpan w:val="7"/>
            <w:tcBorders>
              <w:top w:val="single" w:sz="4" w:space="0" w:color="auto"/>
              <w:left w:val="nil"/>
              <w:bottom w:val="nil"/>
              <w:right w:val="nil"/>
            </w:tcBorders>
          </w:tcPr>
          <w:p w14:paraId="3DD2E06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Academic pathway</w:t>
            </w:r>
          </w:p>
        </w:tc>
      </w:tr>
      <w:tr w:rsidR="000849BC" w:rsidRPr="000849BC" w14:paraId="519E9AA0" w14:textId="77777777" w:rsidTr="00D17B7B">
        <w:tc>
          <w:tcPr>
            <w:tcW w:w="1688" w:type="dxa"/>
            <w:tcBorders>
              <w:top w:val="nil"/>
              <w:left w:val="nil"/>
              <w:bottom w:val="nil"/>
              <w:right w:val="nil"/>
            </w:tcBorders>
          </w:tcPr>
          <w:p w14:paraId="67D5FE26"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1322" w:type="dxa"/>
            <w:tcBorders>
              <w:top w:val="nil"/>
              <w:left w:val="nil"/>
              <w:bottom w:val="nil"/>
              <w:right w:val="nil"/>
            </w:tcBorders>
          </w:tcPr>
          <w:p w14:paraId="1783D62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1.390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(0.218)</w:t>
            </w:r>
          </w:p>
        </w:tc>
        <w:tc>
          <w:tcPr>
            <w:tcW w:w="1322" w:type="dxa"/>
            <w:tcBorders>
              <w:top w:val="nil"/>
              <w:left w:val="nil"/>
              <w:bottom w:val="nil"/>
              <w:right w:val="nil"/>
            </w:tcBorders>
          </w:tcPr>
          <w:p w14:paraId="37BAF0D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1.444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(0.216)</w:t>
            </w:r>
          </w:p>
        </w:tc>
        <w:tc>
          <w:tcPr>
            <w:tcW w:w="1322" w:type="dxa"/>
            <w:tcBorders>
              <w:top w:val="nil"/>
              <w:left w:val="nil"/>
              <w:bottom w:val="nil"/>
              <w:right w:val="nil"/>
            </w:tcBorders>
          </w:tcPr>
          <w:p w14:paraId="19B6C9D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1.279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(0.228)</w:t>
            </w:r>
          </w:p>
        </w:tc>
        <w:tc>
          <w:tcPr>
            <w:tcW w:w="1322" w:type="dxa"/>
            <w:tcBorders>
              <w:top w:val="nil"/>
              <w:left w:val="nil"/>
              <w:bottom w:val="nil"/>
              <w:right w:val="nil"/>
            </w:tcBorders>
          </w:tcPr>
          <w:p w14:paraId="146B07F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1.510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(0.229)</w:t>
            </w:r>
          </w:p>
        </w:tc>
        <w:tc>
          <w:tcPr>
            <w:tcW w:w="1322" w:type="dxa"/>
            <w:tcBorders>
              <w:top w:val="nil"/>
              <w:left w:val="nil"/>
              <w:bottom w:val="nil"/>
              <w:right w:val="nil"/>
            </w:tcBorders>
          </w:tcPr>
          <w:p w14:paraId="691E538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1.242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(0.223)</w:t>
            </w:r>
          </w:p>
        </w:tc>
        <w:tc>
          <w:tcPr>
            <w:tcW w:w="1322" w:type="dxa"/>
            <w:tcBorders>
              <w:top w:val="nil"/>
              <w:left w:val="nil"/>
              <w:bottom w:val="nil"/>
              <w:right w:val="nil"/>
            </w:tcBorders>
          </w:tcPr>
          <w:p w14:paraId="4B77E52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1.483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(0.236)</w:t>
            </w:r>
          </w:p>
        </w:tc>
      </w:tr>
      <w:tr w:rsidR="000849BC" w:rsidRPr="000849BC" w14:paraId="0DA817FC" w14:textId="77777777" w:rsidTr="00D17B7B">
        <w:tc>
          <w:tcPr>
            <w:tcW w:w="1688" w:type="dxa"/>
            <w:tcBorders>
              <w:top w:val="nil"/>
              <w:left w:val="nil"/>
              <w:bottom w:val="nil"/>
              <w:right w:val="nil"/>
            </w:tcBorders>
          </w:tcPr>
          <w:p w14:paraId="4C9ED254"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 – 2nd quintile</w:t>
            </w:r>
          </w:p>
        </w:tc>
        <w:tc>
          <w:tcPr>
            <w:tcW w:w="1322" w:type="dxa"/>
            <w:tcBorders>
              <w:top w:val="nil"/>
              <w:left w:val="nil"/>
              <w:bottom w:val="nil"/>
              <w:right w:val="nil"/>
            </w:tcBorders>
          </w:tcPr>
          <w:p w14:paraId="03F7B11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1.315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(0.179)</w:t>
            </w:r>
          </w:p>
        </w:tc>
        <w:tc>
          <w:tcPr>
            <w:tcW w:w="1322" w:type="dxa"/>
            <w:tcBorders>
              <w:top w:val="nil"/>
              <w:left w:val="nil"/>
              <w:bottom w:val="nil"/>
              <w:right w:val="nil"/>
            </w:tcBorders>
          </w:tcPr>
          <w:p w14:paraId="505096C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1.165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(0.176)</w:t>
            </w:r>
          </w:p>
        </w:tc>
        <w:tc>
          <w:tcPr>
            <w:tcW w:w="1322" w:type="dxa"/>
            <w:tcBorders>
              <w:top w:val="nil"/>
              <w:left w:val="nil"/>
              <w:bottom w:val="nil"/>
              <w:right w:val="nil"/>
            </w:tcBorders>
          </w:tcPr>
          <w:p w14:paraId="3EB4C2E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1.152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(0.182)</w:t>
            </w:r>
          </w:p>
        </w:tc>
        <w:tc>
          <w:tcPr>
            <w:tcW w:w="1322" w:type="dxa"/>
            <w:tcBorders>
              <w:top w:val="nil"/>
              <w:left w:val="nil"/>
              <w:bottom w:val="nil"/>
              <w:right w:val="nil"/>
            </w:tcBorders>
          </w:tcPr>
          <w:p w14:paraId="37A51E3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1.166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(0.196)</w:t>
            </w:r>
          </w:p>
        </w:tc>
        <w:tc>
          <w:tcPr>
            <w:tcW w:w="1322" w:type="dxa"/>
            <w:tcBorders>
              <w:top w:val="nil"/>
              <w:left w:val="nil"/>
              <w:bottom w:val="nil"/>
              <w:right w:val="nil"/>
            </w:tcBorders>
          </w:tcPr>
          <w:p w14:paraId="5485BE3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0.760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(0.180)</w:t>
            </w:r>
          </w:p>
        </w:tc>
        <w:tc>
          <w:tcPr>
            <w:tcW w:w="1322" w:type="dxa"/>
            <w:tcBorders>
              <w:top w:val="nil"/>
              <w:left w:val="nil"/>
              <w:bottom w:val="nil"/>
              <w:right w:val="nil"/>
            </w:tcBorders>
          </w:tcPr>
          <w:p w14:paraId="29DFE6D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1.476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(0.194)</w:t>
            </w:r>
          </w:p>
        </w:tc>
      </w:tr>
      <w:tr w:rsidR="000849BC" w:rsidRPr="000849BC" w14:paraId="51E293BE" w14:textId="77777777" w:rsidTr="00D17B7B">
        <w:tc>
          <w:tcPr>
            <w:tcW w:w="1688" w:type="dxa"/>
            <w:tcBorders>
              <w:top w:val="nil"/>
              <w:left w:val="nil"/>
              <w:bottom w:val="nil"/>
              <w:right w:val="nil"/>
            </w:tcBorders>
          </w:tcPr>
          <w:p w14:paraId="04ACC969"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3rd quintile)</w:t>
            </w:r>
          </w:p>
        </w:tc>
        <w:tc>
          <w:tcPr>
            <w:tcW w:w="1322" w:type="dxa"/>
            <w:tcBorders>
              <w:top w:val="nil"/>
              <w:left w:val="nil"/>
              <w:bottom w:val="nil"/>
              <w:right w:val="nil"/>
            </w:tcBorders>
          </w:tcPr>
          <w:p w14:paraId="73B770B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1.742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(0.179)</w:t>
            </w:r>
          </w:p>
        </w:tc>
        <w:tc>
          <w:tcPr>
            <w:tcW w:w="1322" w:type="dxa"/>
            <w:tcBorders>
              <w:top w:val="nil"/>
              <w:left w:val="nil"/>
              <w:bottom w:val="nil"/>
              <w:right w:val="nil"/>
            </w:tcBorders>
          </w:tcPr>
          <w:p w14:paraId="5F6C502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1.803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(0.177)</w:t>
            </w:r>
          </w:p>
        </w:tc>
        <w:tc>
          <w:tcPr>
            <w:tcW w:w="1322" w:type="dxa"/>
            <w:tcBorders>
              <w:top w:val="nil"/>
              <w:left w:val="nil"/>
              <w:bottom w:val="nil"/>
              <w:right w:val="nil"/>
            </w:tcBorders>
          </w:tcPr>
          <w:p w14:paraId="594BFE6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1.708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(0.189)</w:t>
            </w:r>
          </w:p>
        </w:tc>
        <w:tc>
          <w:tcPr>
            <w:tcW w:w="1322" w:type="dxa"/>
            <w:tcBorders>
              <w:top w:val="nil"/>
              <w:left w:val="nil"/>
              <w:bottom w:val="nil"/>
              <w:right w:val="nil"/>
            </w:tcBorders>
          </w:tcPr>
          <w:p w14:paraId="536B702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1.966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(0.196)</w:t>
            </w:r>
          </w:p>
        </w:tc>
        <w:tc>
          <w:tcPr>
            <w:tcW w:w="1322" w:type="dxa"/>
            <w:tcBorders>
              <w:top w:val="nil"/>
              <w:left w:val="nil"/>
              <w:bottom w:val="nil"/>
              <w:right w:val="nil"/>
            </w:tcBorders>
          </w:tcPr>
          <w:p w14:paraId="5BBABE5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1.584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(0.182)</w:t>
            </w:r>
          </w:p>
        </w:tc>
        <w:tc>
          <w:tcPr>
            <w:tcW w:w="1322" w:type="dxa"/>
            <w:tcBorders>
              <w:top w:val="nil"/>
              <w:left w:val="nil"/>
              <w:bottom w:val="nil"/>
              <w:right w:val="nil"/>
            </w:tcBorders>
          </w:tcPr>
          <w:p w14:paraId="2624191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2.011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(0.196)</w:t>
            </w:r>
          </w:p>
        </w:tc>
      </w:tr>
      <w:tr w:rsidR="000849BC" w:rsidRPr="000849BC" w14:paraId="75CFFE34" w14:textId="77777777" w:rsidTr="00D17B7B">
        <w:tc>
          <w:tcPr>
            <w:tcW w:w="1688" w:type="dxa"/>
            <w:tcBorders>
              <w:top w:val="nil"/>
              <w:left w:val="nil"/>
              <w:bottom w:val="nil"/>
              <w:right w:val="nil"/>
            </w:tcBorders>
          </w:tcPr>
          <w:p w14:paraId="7C4AAF7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4th quintile</w:t>
            </w:r>
          </w:p>
        </w:tc>
        <w:tc>
          <w:tcPr>
            <w:tcW w:w="1322" w:type="dxa"/>
            <w:tcBorders>
              <w:top w:val="nil"/>
              <w:left w:val="nil"/>
              <w:bottom w:val="nil"/>
              <w:right w:val="nil"/>
            </w:tcBorders>
          </w:tcPr>
          <w:p w14:paraId="583996E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2.380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(0.199)</w:t>
            </w:r>
          </w:p>
        </w:tc>
        <w:tc>
          <w:tcPr>
            <w:tcW w:w="1322" w:type="dxa"/>
            <w:tcBorders>
              <w:top w:val="nil"/>
              <w:left w:val="nil"/>
              <w:bottom w:val="nil"/>
              <w:right w:val="nil"/>
            </w:tcBorders>
          </w:tcPr>
          <w:p w14:paraId="346025A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1.996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(0.189)</w:t>
            </w:r>
          </w:p>
        </w:tc>
        <w:tc>
          <w:tcPr>
            <w:tcW w:w="1322" w:type="dxa"/>
            <w:tcBorders>
              <w:top w:val="nil"/>
              <w:left w:val="nil"/>
              <w:bottom w:val="nil"/>
              <w:right w:val="nil"/>
            </w:tcBorders>
          </w:tcPr>
          <w:p w14:paraId="6791D89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2.566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(0.206)</w:t>
            </w:r>
          </w:p>
        </w:tc>
        <w:tc>
          <w:tcPr>
            <w:tcW w:w="1322" w:type="dxa"/>
            <w:tcBorders>
              <w:top w:val="nil"/>
              <w:left w:val="nil"/>
              <w:bottom w:val="nil"/>
              <w:right w:val="nil"/>
            </w:tcBorders>
          </w:tcPr>
          <w:p w14:paraId="612F70B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2.597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(0.214)</w:t>
            </w:r>
          </w:p>
        </w:tc>
        <w:tc>
          <w:tcPr>
            <w:tcW w:w="1322" w:type="dxa"/>
            <w:tcBorders>
              <w:top w:val="nil"/>
              <w:left w:val="nil"/>
              <w:bottom w:val="nil"/>
              <w:right w:val="nil"/>
            </w:tcBorders>
          </w:tcPr>
          <w:p w14:paraId="74044EC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2.268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(0.204)</w:t>
            </w:r>
          </w:p>
        </w:tc>
        <w:tc>
          <w:tcPr>
            <w:tcW w:w="1322" w:type="dxa"/>
            <w:tcBorders>
              <w:top w:val="nil"/>
              <w:left w:val="nil"/>
              <w:bottom w:val="nil"/>
              <w:right w:val="nil"/>
            </w:tcBorders>
          </w:tcPr>
          <w:p w14:paraId="645040B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2.635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(0.209)</w:t>
            </w:r>
          </w:p>
        </w:tc>
      </w:tr>
      <w:tr w:rsidR="000849BC" w:rsidRPr="000849BC" w14:paraId="074DFABA" w14:textId="77777777" w:rsidTr="00D17B7B">
        <w:tc>
          <w:tcPr>
            <w:tcW w:w="1688" w:type="dxa"/>
            <w:tcBorders>
              <w:top w:val="nil"/>
              <w:left w:val="nil"/>
              <w:bottom w:val="nil"/>
              <w:right w:val="nil"/>
            </w:tcBorders>
          </w:tcPr>
          <w:p w14:paraId="4757FA8A"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5th quintile</w:t>
            </w:r>
          </w:p>
        </w:tc>
        <w:tc>
          <w:tcPr>
            <w:tcW w:w="1322" w:type="dxa"/>
            <w:tcBorders>
              <w:top w:val="nil"/>
              <w:left w:val="nil"/>
              <w:bottom w:val="nil"/>
              <w:right w:val="nil"/>
            </w:tcBorders>
          </w:tcPr>
          <w:p w14:paraId="15335E5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2.726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(0.214)</w:t>
            </w:r>
          </w:p>
        </w:tc>
        <w:tc>
          <w:tcPr>
            <w:tcW w:w="1322" w:type="dxa"/>
            <w:tcBorders>
              <w:top w:val="nil"/>
              <w:left w:val="nil"/>
              <w:bottom w:val="nil"/>
              <w:right w:val="nil"/>
            </w:tcBorders>
          </w:tcPr>
          <w:p w14:paraId="6EB62FA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2.400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(0.208)</w:t>
            </w:r>
          </w:p>
        </w:tc>
        <w:tc>
          <w:tcPr>
            <w:tcW w:w="1322" w:type="dxa"/>
            <w:tcBorders>
              <w:top w:val="nil"/>
              <w:left w:val="nil"/>
              <w:bottom w:val="nil"/>
              <w:right w:val="nil"/>
            </w:tcBorders>
          </w:tcPr>
          <w:p w14:paraId="5E4E040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3.327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(0.259)</w:t>
            </w:r>
          </w:p>
        </w:tc>
        <w:tc>
          <w:tcPr>
            <w:tcW w:w="1322" w:type="dxa"/>
            <w:tcBorders>
              <w:top w:val="nil"/>
              <w:left w:val="nil"/>
              <w:bottom w:val="nil"/>
              <w:right w:val="nil"/>
            </w:tcBorders>
          </w:tcPr>
          <w:p w14:paraId="71FDB14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3.506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(0.277)</w:t>
            </w:r>
          </w:p>
        </w:tc>
        <w:tc>
          <w:tcPr>
            <w:tcW w:w="1322" w:type="dxa"/>
            <w:tcBorders>
              <w:top w:val="nil"/>
              <w:left w:val="nil"/>
              <w:bottom w:val="nil"/>
              <w:right w:val="nil"/>
            </w:tcBorders>
          </w:tcPr>
          <w:p w14:paraId="2C879D4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2.728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(0.237)</w:t>
            </w:r>
          </w:p>
        </w:tc>
        <w:tc>
          <w:tcPr>
            <w:tcW w:w="1322" w:type="dxa"/>
            <w:tcBorders>
              <w:top w:val="nil"/>
              <w:left w:val="nil"/>
              <w:bottom w:val="nil"/>
              <w:right w:val="nil"/>
            </w:tcBorders>
          </w:tcPr>
          <w:p w14:paraId="69A8AEF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3.719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(0.283)</w:t>
            </w:r>
          </w:p>
        </w:tc>
      </w:tr>
      <w:tr w:rsidR="000849BC" w:rsidRPr="000849BC" w14:paraId="2146818C" w14:textId="77777777" w:rsidTr="00D17B7B">
        <w:tc>
          <w:tcPr>
            <w:tcW w:w="1688" w:type="dxa"/>
            <w:tcBorders>
              <w:top w:val="nil"/>
              <w:left w:val="nil"/>
              <w:bottom w:val="nil"/>
              <w:right w:val="nil"/>
            </w:tcBorders>
          </w:tcPr>
          <w:p w14:paraId="55986AB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2nd quintile</w:t>
            </w:r>
          </w:p>
        </w:tc>
        <w:tc>
          <w:tcPr>
            <w:tcW w:w="1322" w:type="dxa"/>
            <w:tcBorders>
              <w:top w:val="nil"/>
              <w:left w:val="nil"/>
              <w:bottom w:val="nil"/>
              <w:right w:val="nil"/>
            </w:tcBorders>
          </w:tcPr>
          <w:p w14:paraId="5343C53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–0.181</w:t>
            </w:r>
            <w:r w:rsidRPr="000849BC">
              <w:rPr>
                <w:rFonts w:eastAsiaTheme="minorEastAsia" w:cs="Times New Roman"/>
                <w:sz w:val="20"/>
                <w:szCs w:val="20"/>
                <w:lang w:val="en-US" w:eastAsia="ru-RU"/>
              </w:rPr>
              <w:br/>
              <w:t>(0.294)</w:t>
            </w:r>
          </w:p>
        </w:tc>
        <w:tc>
          <w:tcPr>
            <w:tcW w:w="1322" w:type="dxa"/>
            <w:tcBorders>
              <w:top w:val="nil"/>
              <w:left w:val="nil"/>
              <w:bottom w:val="nil"/>
              <w:right w:val="nil"/>
            </w:tcBorders>
          </w:tcPr>
          <w:p w14:paraId="69F12EF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–0.281</w:t>
            </w:r>
            <w:r w:rsidRPr="000849BC">
              <w:rPr>
                <w:rFonts w:eastAsiaTheme="minorEastAsia" w:cs="Times New Roman"/>
                <w:sz w:val="20"/>
                <w:szCs w:val="20"/>
                <w:lang w:val="en-US" w:eastAsia="ru-RU"/>
              </w:rPr>
              <w:br/>
              <w:t>(0.293)</w:t>
            </w:r>
          </w:p>
        </w:tc>
        <w:tc>
          <w:tcPr>
            <w:tcW w:w="1322" w:type="dxa"/>
            <w:tcBorders>
              <w:top w:val="nil"/>
              <w:left w:val="nil"/>
              <w:bottom w:val="nil"/>
              <w:right w:val="nil"/>
            </w:tcBorders>
          </w:tcPr>
          <w:p w14:paraId="64A4643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0.063</w:t>
            </w:r>
            <w:r w:rsidRPr="000849BC">
              <w:rPr>
                <w:rFonts w:eastAsiaTheme="minorEastAsia" w:cs="Times New Roman"/>
                <w:sz w:val="20"/>
                <w:szCs w:val="20"/>
                <w:lang w:val="en-US" w:eastAsia="ru-RU"/>
              </w:rPr>
              <w:br/>
              <w:t>(0.308)</w:t>
            </w:r>
          </w:p>
        </w:tc>
        <w:tc>
          <w:tcPr>
            <w:tcW w:w="1322" w:type="dxa"/>
            <w:tcBorders>
              <w:top w:val="nil"/>
              <w:left w:val="nil"/>
              <w:bottom w:val="nil"/>
              <w:right w:val="nil"/>
            </w:tcBorders>
          </w:tcPr>
          <w:p w14:paraId="11A6918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0.031</w:t>
            </w:r>
            <w:r w:rsidRPr="000849BC">
              <w:rPr>
                <w:rFonts w:eastAsiaTheme="minorEastAsia" w:cs="Times New Roman"/>
                <w:sz w:val="20"/>
                <w:szCs w:val="20"/>
                <w:lang w:val="en-US" w:eastAsia="ru-RU"/>
              </w:rPr>
              <w:br/>
              <w:t>(0.312)</w:t>
            </w:r>
          </w:p>
        </w:tc>
        <w:tc>
          <w:tcPr>
            <w:tcW w:w="1322" w:type="dxa"/>
            <w:tcBorders>
              <w:top w:val="nil"/>
              <w:left w:val="nil"/>
              <w:bottom w:val="nil"/>
              <w:right w:val="nil"/>
            </w:tcBorders>
          </w:tcPr>
          <w:p w14:paraId="3E2A2E0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0.300</w:t>
            </w:r>
            <w:r w:rsidRPr="000849BC">
              <w:rPr>
                <w:rFonts w:eastAsiaTheme="minorEastAsia" w:cs="Times New Roman"/>
                <w:sz w:val="20"/>
                <w:szCs w:val="20"/>
                <w:lang w:val="en-US" w:eastAsia="ru-RU"/>
              </w:rPr>
              <w:br/>
              <w:t>(0.305)</w:t>
            </w:r>
          </w:p>
        </w:tc>
        <w:tc>
          <w:tcPr>
            <w:tcW w:w="1322" w:type="dxa"/>
            <w:tcBorders>
              <w:top w:val="nil"/>
              <w:left w:val="nil"/>
              <w:bottom w:val="nil"/>
              <w:right w:val="nil"/>
            </w:tcBorders>
          </w:tcPr>
          <w:p w14:paraId="7333B22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–0.351</w:t>
            </w:r>
            <w:r w:rsidRPr="000849BC">
              <w:rPr>
                <w:rFonts w:eastAsiaTheme="minorEastAsia" w:cs="Times New Roman"/>
                <w:sz w:val="20"/>
                <w:szCs w:val="20"/>
                <w:lang w:val="en-US" w:eastAsia="ru-RU"/>
              </w:rPr>
              <w:br/>
              <w:t>(0.316)</w:t>
            </w:r>
          </w:p>
        </w:tc>
      </w:tr>
      <w:tr w:rsidR="000849BC" w:rsidRPr="000849BC" w14:paraId="216C0A65" w14:textId="77777777" w:rsidTr="00D17B7B">
        <w:tc>
          <w:tcPr>
            <w:tcW w:w="1688" w:type="dxa"/>
            <w:tcBorders>
              <w:top w:val="nil"/>
              <w:left w:val="nil"/>
              <w:bottom w:val="nil"/>
              <w:right w:val="nil"/>
            </w:tcBorders>
          </w:tcPr>
          <w:p w14:paraId="28E4A99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3rd quintile</w:t>
            </w:r>
          </w:p>
        </w:tc>
        <w:tc>
          <w:tcPr>
            <w:tcW w:w="1322" w:type="dxa"/>
            <w:tcBorders>
              <w:top w:val="nil"/>
              <w:left w:val="nil"/>
              <w:bottom w:val="nil"/>
              <w:right w:val="nil"/>
            </w:tcBorders>
          </w:tcPr>
          <w:p w14:paraId="674B7FA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0.085</w:t>
            </w:r>
            <w:r w:rsidRPr="000849BC">
              <w:rPr>
                <w:rFonts w:eastAsiaTheme="minorEastAsia" w:cs="Times New Roman"/>
                <w:sz w:val="20"/>
                <w:szCs w:val="20"/>
                <w:lang w:val="en-US" w:eastAsia="ru-RU"/>
              </w:rPr>
              <w:br/>
              <w:t>(0.297)</w:t>
            </w:r>
          </w:p>
        </w:tc>
        <w:tc>
          <w:tcPr>
            <w:tcW w:w="1322" w:type="dxa"/>
            <w:tcBorders>
              <w:top w:val="nil"/>
              <w:left w:val="nil"/>
              <w:bottom w:val="nil"/>
              <w:right w:val="nil"/>
            </w:tcBorders>
          </w:tcPr>
          <w:p w14:paraId="566D8D3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–0.216</w:t>
            </w:r>
            <w:r w:rsidRPr="000849BC">
              <w:rPr>
                <w:rFonts w:eastAsiaTheme="minorEastAsia" w:cs="Times New Roman"/>
                <w:sz w:val="20"/>
                <w:szCs w:val="20"/>
                <w:lang w:val="en-US" w:eastAsia="ru-RU"/>
              </w:rPr>
              <w:br/>
              <w:t>(0.295)</w:t>
            </w:r>
          </w:p>
        </w:tc>
        <w:tc>
          <w:tcPr>
            <w:tcW w:w="1322" w:type="dxa"/>
            <w:tcBorders>
              <w:top w:val="nil"/>
              <w:left w:val="nil"/>
              <w:bottom w:val="nil"/>
              <w:right w:val="nil"/>
            </w:tcBorders>
          </w:tcPr>
          <w:p w14:paraId="43CFB63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–0.073</w:t>
            </w:r>
            <w:r w:rsidRPr="000849BC">
              <w:rPr>
                <w:rFonts w:eastAsiaTheme="minorEastAsia" w:cs="Times New Roman"/>
                <w:sz w:val="20"/>
                <w:szCs w:val="20"/>
                <w:lang w:val="en-US" w:eastAsia="ru-RU"/>
              </w:rPr>
              <w:br/>
              <w:t>(0.305)</w:t>
            </w:r>
          </w:p>
        </w:tc>
        <w:tc>
          <w:tcPr>
            <w:tcW w:w="1322" w:type="dxa"/>
            <w:tcBorders>
              <w:top w:val="nil"/>
              <w:left w:val="nil"/>
              <w:bottom w:val="nil"/>
              <w:right w:val="nil"/>
            </w:tcBorders>
          </w:tcPr>
          <w:p w14:paraId="128D8AF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–0.393</w:t>
            </w:r>
            <w:r w:rsidRPr="000849BC">
              <w:rPr>
                <w:rFonts w:eastAsiaTheme="minorEastAsia" w:cs="Times New Roman"/>
                <w:sz w:val="20"/>
                <w:szCs w:val="20"/>
                <w:lang w:val="en-US" w:eastAsia="ru-RU"/>
              </w:rPr>
              <w:br/>
              <w:t>(0.305)</w:t>
            </w:r>
          </w:p>
        </w:tc>
        <w:tc>
          <w:tcPr>
            <w:tcW w:w="1322" w:type="dxa"/>
            <w:tcBorders>
              <w:top w:val="nil"/>
              <w:left w:val="nil"/>
              <w:bottom w:val="nil"/>
              <w:right w:val="nil"/>
            </w:tcBorders>
          </w:tcPr>
          <w:p w14:paraId="5B19B1D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0.143</w:t>
            </w:r>
            <w:r w:rsidRPr="000849BC">
              <w:rPr>
                <w:rFonts w:eastAsiaTheme="minorEastAsia" w:cs="Times New Roman"/>
                <w:sz w:val="20"/>
                <w:szCs w:val="20"/>
                <w:lang w:val="en-US" w:eastAsia="ru-RU"/>
              </w:rPr>
              <w:br/>
              <w:t>(0.307)</w:t>
            </w:r>
          </w:p>
        </w:tc>
        <w:tc>
          <w:tcPr>
            <w:tcW w:w="1322" w:type="dxa"/>
            <w:tcBorders>
              <w:top w:val="nil"/>
              <w:left w:val="nil"/>
              <w:bottom w:val="nil"/>
              <w:right w:val="nil"/>
            </w:tcBorders>
          </w:tcPr>
          <w:p w14:paraId="03C7C20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–0.242</w:t>
            </w:r>
            <w:r w:rsidRPr="000849BC">
              <w:rPr>
                <w:rFonts w:eastAsiaTheme="minorEastAsia" w:cs="Times New Roman"/>
                <w:sz w:val="20"/>
                <w:szCs w:val="20"/>
                <w:lang w:val="en-US" w:eastAsia="ru-RU"/>
              </w:rPr>
              <w:br/>
              <w:t>(0.313)</w:t>
            </w:r>
          </w:p>
        </w:tc>
      </w:tr>
      <w:tr w:rsidR="000849BC" w:rsidRPr="000849BC" w14:paraId="5B57D554" w14:textId="77777777" w:rsidTr="00D17B7B">
        <w:tc>
          <w:tcPr>
            <w:tcW w:w="1688" w:type="dxa"/>
            <w:tcBorders>
              <w:top w:val="nil"/>
              <w:left w:val="nil"/>
              <w:bottom w:val="nil"/>
              <w:right w:val="nil"/>
            </w:tcBorders>
          </w:tcPr>
          <w:p w14:paraId="48D79BD5"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4th quintile</w:t>
            </w:r>
          </w:p>
        </w:tc>
        <w:tc>
          <w:tcPr>
            <w:tcW w:w="1322" w:type="dxa"/>
            <w:tcBorders>
              <w:top w:val="nil"/>
              <w:left w:val="nil"/>
              <w:bottom w:val="nil"/>
              <w:right w:val="nil"/>
            </w:tcBorders>
          </w:tcPr>
          <w:p w14:paraId="12821DB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0.228</w:t>
            </w:r>
            <w:r w:rsidRPr="000849BC">
              <w:rPr>
                <w:rFonts w:eastAsiaTheme="minorEastAsia" w:cs="Times New Roman"/>
                <w:sz w:val="20"/>
                <w:szCs w:val="20"/>
                <w:lang w:val="en-US" w:eastAsia="ru-RU"/>
              </w:rPr>
              <w:br/>
              <w:t>(0.323)</w:t>
            </w:r>
          </w:p>
        </w:tc>
        <w:tc>
          <w:tcPr>
            <w:tcW w:w="1322" w:type="dxa"/>
            <w:tcBorders>
              <w:top w:val="nil"/>
              <w:left w:val="nil"/>
              <w:bottom w:val="nil"/>
              <w:right w:val="nil"/>
            </w:tcBorders>
          </w:tcPr>
          <w:p w14:paraId="24BB899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0.388</w:t>
            </w:r>
            <w:r w:rsidRPr="000849BC">
              <w:rPr>
                <w:rFonts w:eastAsiaTheme="minorEastAsia" w:cs="Times New Roman"/>
                <w:sz w:val="20"/>
                <w:szCs w:val="20"/>
                <w:lang w:val="en-US" w:eastAsia="ru-RU"/>
              </w:rPr>
              <w:br/>
              <w:t>(0.316)</w:t>
            </w:r>
          </w:p>
        </w:tc>
        <w:tc>
          <w:tcPr>
            <w:tcW w:w="1322" w:type="dxa"/>
            <w:tcBorders>
              <w:top w:val="nil"/>
              <w:left w:val="nil"/>
              <w:bottom w:val="nil"/>
              <w:right w:val="nil"/>
            </w:tcBorders>
          </w:tcPr>
          <w:p w14:paraId="499A4CF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0.337</w:t>
            </w:r>
            <w:r w:rsidRPr="000849BC">
              <w:rPr>
                <w:rFonts w:eastAsiaTheme="minorEastAsia" w:cs="Times New Roman"/>
                <w:sz w:val="20"/>
                <w:szCs w:val="20"/>
                <w:lang w:val="en-US" w:eastAsia="ru-RU"/>
              </w:rPr>
              <w:br/>
              <w:t>(0.354)</w:t>
            </w:r>
          </w:p>
        </w:tc>
        <w:tc>
          <w:tcPr>
            <w:tcW w:w="1322" w:type="dxa"/>
            <w:tcBorders>
              <w:top w:val="nil"/>
              <w:left w:val="nil"/>
              <w:bottom w:val="nil"/>
              <w:right w:val="nil"/>
            </w:tcBorders>
          </w:tcPr>
          <w:p w14:paraId="3F872A7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–0.242</w:t>
            </w:r>
            <w:r w:rsidRPr="000849BC">
              <w:rPr>
                <w:rFonts w:eastAsiaTheme="minorEastAsia" w:cs="Times New Roman"/>
                <w:sz w:val="20"/>
                <w:szCs w:val="20"/>
                <w:lang w:val="en-US" w:eastAsia="ru-RU"/>
              </w:rPr>
              <w:br/>
              <w:t>(0.329)</w:t>
            </w:r>
          </w:p>
        </w:tc>
        <w:tc>
          <w:tcPr>
            <w:tcW w:w="1322" w:type="dxa"/>
            <w:tcBorders>
              <w:top w:val="nil"/>
              <w:left w:val="nil"/>
              <w:bottom w:val="nil"/>
              <w:right w:val="nil"/>
            </w:tcBorders>
          </w:tcPr>
          <w:p w14:paraId="3F74304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–0.239</w:t>
            </w:r>
            <w:r w:rsidRPr="000849BC">
              <w:rPr>
                <w:rFonts w:eastAsiaTheme="minorEastAsia" w:cs="Times New Roman"/>
                <w:sz w:val="20"/>
                <w:szCs w:val="20"/>
                <w:lang w:val="en-US" w:eastAsia="ru-RU"/>
              </w:rPr>
              <w:br/>
              <w:t>(0.321)</w:t>
            </w:r>
          </w:p>
        </w:tc>
        <w:tc>
          <w:tcPr>
            <w:tcW w:w="1322" w:type="dxa"/>
            <w:tcBorders>
              <w:top w:val="nil"/>
              <w:left w:val="nil"/>
              <w:bottom w:val="nil"/>
              <w:right w:val="nil"/>
            </w:tcBorders>
          </w:tcPr>
          <w:p w14:paraId="676CFDF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–0.077</w:t>
            </w:r>
            <w:r w:rsidRPr="000849BC">
              <w:rPr>
                <w:rFonts w:eastAsiaTheme="minorEastAsia" w:cs="Times New Roman"/>
                <w:sz w:val="20"/>
                <w:szCs w:val="20"/>
                <w:lang w:val="en-US" w:eastAsia="ru-RU"/>
              </w:rPr>
              <w:br/>
              <w:t>(0.334)</w:t>
            </w:r>
          </w:p>
        </w:tc>
      </w:tr>
      <w:tr w:rsidR="000849BC" w:rsidRPr="000849BC" w14:paraId="6608AC6A" w14:textId="77777777" w:rsidTr="00D17B7B">
        <w:tc>
          <w:tcPr>
            <w:tcW w:w="1688" w:type="dxa"/>
            <w:tcBorders>
              <w:top w:val="nil"/>
              <w:left w:val="nil"/>
              <w:bottom w:val="nil"/>
              <w:right w:val="nil"/>
            </w:tcBorders>
          </w:tcPr>
          <w:p w14:paraId="539FE73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5th quintile</w:t>
            </w:r>
          </w:p>
        </w:tc>
        <w:tc>
          <w:tcPr>
            <w:tcW w:w="1322" w:type="dxa"/>
            <w:tcBorders>
              <w:top w:val="nil"/>
              <w:left w:val="nil"/>
              <w:bottom w:val="nil"/>
              <w:right w:val="nil"/>
            </w:tcBorders>
          </w:tcPr>
          <w:p w14:paraId="3876BBF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0.474</w:t>
            </w:r>
            <w:r w:rsidRPr="000849BC">
              <w:rPr>
                <w:rFonts w:eastAsiaTheme="minorEastAsia" w:cs="Times New Roman"/>
                <w:sz w:val="20"/>
                <w:szCs w:val="20"/>
                <w:lang w:val="en-US" w:eastAsia="ru-RU"/>
              </w:rPr>
              <w:br/>
              <w:t>(0.351)</w:t>
            </w:r>
          </w:p>
        </w:tc>
        <w:tc>
          <w:tcPr>
            <w:tcW w:w="1322" w:type="dxa"/>
            <w:tcBorders>
              <w:top w:val="nil"/>
              <w:left w:val="nil"/>
              <w:bottom w:val="nil"/>
              <w:right w:val="nil"/>
            </w:tcBorders>
          </w:tcPr>
          <w:p w14:paraId="3E15E46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0.528</w:t>
            </w:r>
            <w:r w:rsidRPr="000849BC">
              <w:rPr>
                <w:rFonts w:eastAsiaTheme="minorEastAsia" w:cs="Times New Roman"/>
                <w:sz w:val="20"/>
                <w:szCs w:val="20"/>
                <w:lang w:val="en-US" w:eastAsia="ru-RU"/>
              </w:rPr>
              <w:br/>
              <w:t>(0.335)</w:t>
            </w:r>
          </w:p>
        </w:tc>
        <w:tc>
          <w:tcPr>
            <w:tcW w:w="1322" w:type="dxa"/>
            <w:tcBorders>
              <w:top w:val="nil"/>
              <w:left w:val="nil"/>
              <w:bottom w:val="nil"/>
              <w:right w:val="nil"/>
            </w:tcBorders>
          </w:tcPr>
          <w:p w14:paraId="68E7E59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0.165</w:t>
            </w:r>
            <w:r w:rsidRPr="000849BC">
              <w:rPr>
                <w:rFonts w:eastAsiaTheme="minorEastAsia" w:cs="Times New Roman"/>
                <w:sz w:val="20"/>
                <w:szCs w:val="20"/>
                <w:lang w:val="en-US" w:eastAsia="ru-RU"/>
              </w:rPr>
              <w:br/>
              <w:t>(0.393)</w:t>
            </w:r>
          </w:p>
        </w:tc>
        <w:tc>
          <w:tcPr>
            <w:tcW w:w="1322" w:type="dxa"/>
            <w:tcBorders>
              <w:top w:val="nil"/>
              <w:left w:val="nil"/>
              <w:bottom w:val="nil"/>
              <w:right w:val="nil"/>
            </w:tcBorders>
          </w:tcPr>
          <w:p w14:paraId="235F7EB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0.618</w:t>
            </w:r>
            <w:r w:rsidRPr="000849BC">
              <w:rPr>
                <w:rFonts w:eastAsiaTheme="minorEastAsia" w:cs="Times New Roman"/>
                <w:sz w:val="20"/>
                <w:szCs w:val="20"/>
                <w:lang w:val="en-US" w:eastAsia="ru-RU"/>
              </w:rPr>
              <w:br/>
              <w:t>(0.473)</w:t>
            </w:r>
          </w:p>
        </w:tc>
        <w:tc>
          <w:tcPr>
            <w:tcW w:w="1322" w:type="dxa"/>
            <w:tcBorders>
              <w:top w:val="nil"/>
              <w:left w:val="nil"/>
              <w:bottom w:val="nil"/>
              <w:right w:val="nil"/>
            </w:tcBorders>
          </w:tcPr>
          <w:p w14:paraId="218DEAE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0.703</w:t>
            </w:r>
            <w:r w:rsidRPr="000849BC">
              <w:rPr>
                <w:rFonts w:eastAsiaTheme="minorEastAsia" w:cs="Times New Roman"/>
                <w:sz w:val="20"/>
                <w:szCs w:val="20"/>
                <w:lang w:val="en-US" w:eastAsia="ru-RU"/>
              </w:rPr>
              <w:br/>
              <w:t>(0.391)</w:t>
            </w:r>
          </w:p>
        </w:tc>
        <w:tc>
          <w:tcPr>
            <w:tcW w:w="1322" w:type="dxa"/>
            <w:tcBorders>
              <w:top w:val="nil"/>
              <w:left w:val="nil"/>
              <w:bottom w:val="nil"/>
              <w:right w:val="nil"/>
            </w:tcBorders>
          </w:tcPr>
          <w:p w14:paraId="5C7A973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0.251</w:t>
            </w:r>
            <w:r w:rsidRPr="000849BC">
              <w:rPr>
                <w:rFonts w:eastAsiaTheme="minorEastAsia" w:cs="Times New Roman"/>
                <w:sz w:val="20"/>
                <w:szCs w:val="20"/>
                <w:lang w:val="en-US" w:eastAsia="ru-RU"/>
              </w:rPr>
              <w:br/>
              <w:t>(0.442)</w:t>
            </w:r>
          </w:p>
        </w:tc>
      </w:tr>
      <w:tr w:rsidR="000849BC" w:rsidRPr="000849BC" w14:paraId="61C923CA" w14:textId="77777777" w:rsidTr="00D17B7B">
        <w:tc>
          <w:tcPr>
            <w:tcW w:w="1688" w:type="dxa"/>
            <w:tcBorders>
              <w:top w:val="nil"/>
              <w:left w:val="nil"/>
              <w:bottom w:val="nil"/>
              <w:right w:val="nil"/>
            </w:tcBorders>
          </w:tcPr>
          <w:p w14:paraId="75CB539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1322" w:type="dxa"/>
            <w:tcBorders>
              <w:top w:val="nil"/>
              <w:left w:val="nil"/>
              <w:bottom w:val="nil"/>
              <w:right w:val="nil"/>
            </w:tcBorders>
          </w:tcPr>
          <w:p w14:paraId="1453D0E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–1.877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(0.149)</w:t>
            </w:r>
          </w:p>
        </w:tc>
        <w:tc>
          <w:tcPr>
            <w:tcW w:w="1322" w:type="dxa"/>
            <w:tcBorders>
              <w:top w:val="nil"/>
              <w:left w:val="nil"/>
              <w:bottom w:val="nil"/>
              <w:right w:val="nil"/>
            </w:tcBorders>
          </w:tcPr>
          <w:p w14:paraId="6E830FF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–1.792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(0.147)</w:t>
            </w:r>
          </w:p>
        </w:tc>
        <w:tc>
          <w:tcPr>
            <w:tcW w:w="1322" w:type="dxa"/>
            <w:tcBorders>
              <w:top w:val="nil"/>
              <w:left w:val="nil"/>
              <w:bottom w:val="nil"/>
              <w:right w:val="nil"/>
            </w:tcBorders>
          </w:tcPr>
          <w:p w14:paraId="3507E72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–1.929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(0.155)</w:t>
            </w:r>
          </w:p>
        </w:tc>
        <w:tc>
          <w:tcPr>
            <w:tcW w:w="1322" w:type="dxa"/>
            <w:tcBorders>
              <w:top w:val="nil"/>
              <w:left w:val="nil"/>
              <w:bottom w:val="nil"/>
              <w:right w:val="nil"/>
            </w:tcBorders>
          </w:tcPr>
          <w:p w14:paraId="0B3B58A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–1.661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(0.161)</w:t>
            </w:r>
          </w:p>
        </w:tc>
        <w:tc>
          <w:tcPr>
            <w:tcW w:w="1322" w:type="dxa"/>
            <w:tcBorders>
              <w:top w:val="nil"/>
              <w:left w:val="nil"/>
              <w:bottom w:val="nil"/>
              <w:right w:val="nil"/>
            </w:tcBorders>
          </w:tcPr>
          <w:p w14:paraId="7EC59D5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–1.665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(0.150)</w:t>
            </w:r>
          </w:p>
        </w:tc>
        <w:tc>
          <w:tcPr>
            <w:tcW w:w="1322" w:type="dxa"/>
            <w:tcBorders>
              <w:top w:val="nil"/>
              <w:left w:val="nil"/>
              <w:bottom w:val="nil"/>
              <w:right w:val="nil"/>
            </w:tcBorders>
          </w:tcPr>
          <w:p w14:paraId="7E32112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–2.019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(0.164)</w:t>
            </w:r>
          </w:p>
        </w:tc>
      </w:tr>
      <w:tr w:rsidR="000849BC" w:rsidRPr="000849BC" w14:paraId="4630B6F2" w14:textId="77777777" w:rsidTr="00D17B7B">
        <w:tc>
          <w:tcPr>
            <w:tcW w:w="9620" w:type="dxa"/>
            <w:gridSpan w:val="7"/>
            <w:tcBorders>
              <w:top w:val="single" w:sz="4" w:space="0" w:color="auto"/>
              <w:left w:val="nil"/>
              <w:bottom w:val="nil"/>
              <w:right w:val="nil"/>
            </w:tcBorders>
          </w:tcPr>
          <w:p w14:paraId="7C6EEAC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Pseudo-academic pathway</w:t>
            </w:r>
          </w:p>
        </w:tc>
      </w:tr>
      <w:tr w:rsidR="000849BC" w:rsidRPr="000849BC" w14:paraId="30E2A0C6" w14:textId="77777777" w:rsidTr="00D17B7B">
        <w:tc>
          <w:tcPr>
            <w:tcW w:w="1688" w:type="dxa"/>
            <w:tcBorders>
              <w:top w:val="nil"/>
              <w:left w:val="nil"/>
              <w:bottom w:val="nil"/>
              <w:right w:val="nil"/>
            </w:tcBorders>
          </w:tcPr>
          <w:p w14:paraId="55E72AAB"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1322" w:type="dxa"/>
            <w:tcBorders>
              <w:top w:val="nil"/>
              <w:left w:val="nil"/>
              <w:bottom w:val="nil"/>
              <w:right w:val="nil"/>
            </w:tcBorders>
          </w:tcPr>
          <w:p w14:paraId="205CCA4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0.678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(0.267)</w:t>
            </w:r>
          </w:p>
        </w:tc>
        <w:tc>
          <w:tcPr>
            <w:tcW w:w="1322" w:type="dxa"/>
            <w:tcBorders>
              <w:top w:val="nil"/>
              <w:left w:val="nil"/>
              <w:bottom w:val="nil"/>
              <w:right w:val="nil"/>
            </w:tcBorders>
          </w:tcPr>
          <w:p w14:paraId="22C8A55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0.805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(0.260)</w:t>
            </w:r>
          </w:p>
        </w:tc>
        <w:tc>
          <w:tcPr>
            <w:tcW w:w="1322" w:type="dxa"/>
            <w:tcBorders>
              <w:top w:val="nil"/>
              <w:left w:val="nil"/>
              <w:bottom w:val="nil"/>
              <w:right w:val="nil"/>
            </w:tcBorders>
          </w:tcPr>
          <w:p w14:paraId="067BC02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0.929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(0.274)</w:t>
            </w:r>
          </w:p>
        </w:tc>
        <w:tc>
          <w:tcPr>
            <w:tcW w:w="1322" w:type="dxa"/>
            <w:tcBorders>
              <w:top w:val="nil"/>
              <w:left w:val="nil"/>
              <w:bottom w:val="nil"/>
              <w:right w:val="nil"/>
            </w:tcBorders>
          </w:tcPr>
          <w:p w14:paraId="5486EE2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1.507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(0.295)</w:t>
            </w:r>
          </w:p>
        </w:tc>
        <w:tc>
          <w:tcPr>
            <w:tcW w:w="1322" w:type="dxa"/>
            <w:tcBorders>
              <w:top w:val="nil"/>
              <w:left w:val="nil"/>
              <w:bottom w:val="nil"/>
              <w:right w:val="nil"/>
            </w:tcBorders>
          </w:tcPr>
          <w:p w14:paraId="576A6C0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1.041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(0.270)</w:t>
            </w:r>
          </w:p>
        </w:tc>
        <w:tc>
          <w:tcPr>
            <w:tcW w:w="1322" w:type="dxa"/>
            <w:tcBorders>
              <w:top w:val="nil"/>
              <w:left w:val="nil"/>
              <w:bottom w:val="nil"/>
              <w:right w:val="nil"/>
            </w:tcBorders>
          </w:tcPr>
          <w:p w14:paraId="28BE8AE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0.786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(0.276)</w:t>
            </w:r>
          </w:p>
        </w:tc>
      </w:tr>
      <w:tr w:rsidR="000849BC" w:rsidRPr="000849BC" w14:paraId="61A1FCB4" w14:textId="77777777" w:rsidTr="00D17B7B">
        <w:tc>
          <w:tcPr>
            <w:tcW w:w="1688" w:type="dxa"/>
            <w:tcBorders>
              <w:top w:val="nil"/>
              <w:left w:val="nil"/>
              <w:bottom w:val="nil"/>
              <w:right w:val="nil"/>
            </w:tcBorders>
          </w:tcPr>
          <w:p w14:paraId="013E86E7"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 – 2nd quintile</w:t>
            </w:r>
          </w:p>
        </w:tc>
        <w:tc>
          <w:tcPr>
            <w:tcW w:w="1322" w:type="dxa"/>
            <w:tcBorders>
              <w:top w:val="nil"/>
              <w:left w:val="nil"/>
              <w:bottom w:val="nil"/>
              <w:right w:val="nil"/>
            </w:tcBorders>
          </w:tcPr>
          <w:p w14:paraId="56C9FD8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0.622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(0.212)</w:t>
            </w:r>
          </w:p>
        </w:tc>
        <w:tc>
          <w:tcPr>
            <w:tcW w:w="1322" w:type="dxa"/>
            <w:tcBorders>
              <w:top w:val="nil"/>
              <w:left w:val="nil"/>
              <w:bottom w:val="nil"/>
              <w:right w:val="nil"/>
            </w:tcBorders>
          </w:tcPr>
          <w:p w14:paraId="1E0FBA9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0.553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(0.211)</w:t>
            </w:r>
          </w:p>
        </w:tc>
        <w:tc>
          <w:tcPr>
            <w:tcW w:w="1322" w:type="dxa"/>
            <w:tcBorders>
              <w:top w:val="nil"/>
              <w:left w:val="nil"/>
              <w:bottom w:val="nil"/>
              <w:right w:val="nil"/>
            </w:tcBorders>
          </w:tcPr>
          <w:p w14:paraId="5C76585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0.672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(0.225)</w:t>
            </w:r>
          </w:p>
        </w:tc>
        <w:tc>
          <w:tcPr>
            <w:tcW w:w="1322" w:type="dxa"/>
            <w:tcBorders>
              <w:top w:val="nil"/>
              <w:left w:val="nil"/>
              <w:bottom w:val="nil"/>
              <w:right w:val="nil"/>
            </w:tcBorders>
          </w:tcPr>
          <w:p w14:paraId="432917B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1.085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(0.257)</w:t>
            </w:r>
          </w:p>
        </w:tc>
        <w:tc>
          <w:tcPr>
            <w:tcW w:w="1322" w:type="dxa"/>
            <w:tcBorders>
              <w:top w:val="nil"/>
              <w:left w:val="nil"/>
              <w:bottom w:val="nil"/>
              <w:right w:val="nil"/>
            </w:tcBorders>
          </w:tcPr>
          <w:p w14:paraId="1A7FB43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0.531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(0.223)</w:t>
            </w:r>
          </w:p>
        </w:tc>
        <w:tc>
          <w:tcPr>
            <w:tcW w:w="1322" w:type="dxa"/>
            <w:tcBorders>
              <w:top w:val="nil"/>
              <w:left w:val="nil"/>
              <w:bottom w:val="nil"/>
              <w:right w:val="nil"/>
            </w:tcBorders>
          </w:tcPr>
          <w:p w14:paraId="3030F7D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0.696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(0.222)</w:t>
            </w:r>
          </w:p>
        </w:tc>
      </w:tr>
      <w:tr w:rsidR="000849BC" w:rsidRPr="000849BC" w14:paraId="5E58E904" w14:textId="77777777" w:rsidTr="00D17B7B">
        <w:tc>
          <w:tcPr>
            <w:tcW w:w="1688" w:type="dxa"/>
            <w:tcBorders>
              <w:top w:val="nil"/>
              <w:left w:val="nil"/>
              <w:bottom w:val="nil"/>
              <w:right w:val="nil"/>
            </w:tcBorders>
          </w:tcPr>
          <w:p w14:paraId="1E68654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3rd quintile)</w:t>
            </w:r>
          </w:p>
        </w:tc>
        <w:tc>
          <w:tcPr>
            <w:tcW w:w="1322" w:type="dxa"/>
            <w:tcBorders>
              <w:top w:val="nil"/>
              <w:left w:val="nil"/>
              <w:bottom w:val="nil"/>
              <w:right w:val="nil"/>
            </w:tcBorders>
          </w:tcPr>
          <w:p w14:paraId="260301A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0.251</w:t>
            </w:r>
            <w:r w:rsidRPr="000849BC">
              <w:rPr>
                <w:rFonts w:eastAsiaTheme="minorEastAsia" w:cs="Times New Roman"/>
                <w:sz w:val="20"/>
                <w:szCs w:val="20"/>
                <w:lang w:val="en-US" w:eastAsia="ru-RU"/>
              </w:rPr>
              <w:br/>
              <w:t>(0.243)</w:t>
            </w:r>
          </w:p>
        </w:tc>
        <w:tc>
          <w:tcPr>
            <w:tcW w:w="1322" w:type="dxa"/>
            <w:tcBorders>
              <w:top w:val="nil"/>
              <w:left w:val="nil"/>
              <w:bottom w:val="nil"/>
              <w:right w:val="nil"/>
            </w:tcBorders>
          </w:tcPr>
          <w:p w14:paraId="5C62625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0.347</w:t>
            </w:r>
            <w:r w:rsidRPr="000849BC">
              <w:rPr>
                <w:rFonts w:eastAsiaTheme="minorEastAsia" w:cs="Times New Roman"/>
                <w:sz w:val="20"/>
                <w:szCs w:val="20"/>
                <w:lang w:val="en-US" w:eastAsia="ru-RU"/>
              </w:rPr>
              <w:br/>
              <w:t>(0.239)</w:t>
            </w:r>
          </w:p>
        </w:tc>
        <w:tc>
          <w:tcPr>
            <w:tcW w:w="1322" w:type="dxa"/>
            <w:tcBorders>
              <w:top w:val="nil"/>
              <w:left w:val="nil"/>
              <w:bottom w:val="nil"/>
              <w:right w:val="nil"/>
            </w:tcBorders>
          </w:tcPr>
          <w:p w14:paraId="4563902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0.882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(0.242)</w:t>
            </w:r>
          </w:p>
        </w:tc>
        <w:tc>
          <w:tcPr>
            <w:tcW w:w="1322" w:type="dxa"/>
            <w:tcBorders>
              <w:top w:val="nil"/>
              <w:left w:val="nil"/>
              <w:bottom w:val="nil"/>
              <w:right w:val="nil"/>
            </w:tcBorders>
          </w:tcPr>
          <w:p w14:paraId="179EEFC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1.327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(0.266)</w:t>
            </w:r>
          </w:p>
        </w:tc>
        <w:tc>
          <w:tcPr>
            <w:tcW w:w="1322" w:type="dxa"/>
            <w:tcBorders>
              <w:top w:val="nil"/>
              <w:left w:val="nil"/>
              <w:bottom w:val="nil"/>
              <w:right w:val="nil"/>
            </w:tcBorders>
          </w:tcPr>
          <w:p w14:paraId="47609E0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0.453</w:t>
            </w:r>
            <w:r w:rsidRPr="000849BC">
              <w:rPr>
                <w:rFonts w:eastAsiaTheme="minorEastAsia" w:cs="Times New Roman"/>
                <w:sz w:val="20"/>
                <w:szCs w:val="20"/>
                <w:lang w:val="en-US" w:eastAsia="ru-RU"/>
              </w:rPr>
              <w:br/>
              <w:t>(0.255)</w:t>
            </w:r>
          </w:p>
        </w:tc>
        <w:tc>
          <w:tcPr>
            <w:tcW w:w="1322" w:type="dxa"/>
            <w:tcBorders>
              <w:top w:val="nil"/>
              <w:left w:val="nil"/>
              <w:bottom w:val="nil"/>
              <w:right w:val="nil"/>
            </w:tcBorders>
          </w:tcPr>
          <w:p w14:paraId="609C118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0.729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(0.238)</w:t>
            </w:r>
          </w:p>
        </w:tc>
      </w:tr>
      <w:tr w:rsidR="000849BC" w:rsidRPr="000849BC" w14:paraId="7AF55E54" w14:textId="77777777" w:rsidTr="00D17B7B">
        <w:tc>
          <w:tcPr>
            <w:tcW w:w="1688" w:type="dxa"/>
            <w:tcBorders>
              <w:top w:val="nil"/>
              <w:left w:val="nil"/>
              <w:bottom w:val="nil"/>
              <w:right w:val="nil"/>
            </w:tcBorders>
          </w:tcPr>
          <w:p w14:paraId="13F02628"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4th quintile</w:t>
            </w:r>
          </w:p>
        </w:tc>
        <w:tc>
          <w:tcPr>
            <w:tcW w:w="1322" w:type="dxa"/>
            <w:tcBorders>
              <w:top w:val="nil"/>
              <w:left w:val="nil"/>
              <w:bottom w:val="nil"/>
              <w:right w:val="nil"/>
            </w:tcBorders>
          </w:tcPr>
          <w:p w14:paraId="7EF48EF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0.874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(0.261)</w:t>
            </w:r>
          </w:p>
        </w:tc>
        <w:tc>
          <w:tcPr>
            <w:tcW w:w="1322" w:type="dxa"/>
            <w:tcBorders>
              <w:top w:val="nil"/>
              <w:left w:val="nil"/>
              <w:bottom w:val="nil"/>
              <w:right w:val="nil"/>
            </w:tcBorders>
          </w:tcPr>
          <w:p w14:paraId="071E848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0.386</w:t>
            </w:r>
            <w:r w:rsidRPr="000849BC">
              <w:rPr>
                <w:rFonts w:eastAsiaTheme="minorEastAsia" w:cs="Times New Roman"/>
                <w:sz w:val="20"/>
                <w:szCs w:val="20"/>
                <w:lang w:val="en-US" w:eastAsia="ru-RU"/>
              </w:rPr>
              <w:br/>
              <w:t>(0.267)</w:t>
            </w:r>
          </w:p>
        </w:tc>
        <w:tc>
          <w:tcPr>
            <w:tcW w:w="1322" w:type="dxa"/>
            <w:tcBorders>
              <w:top w:val="nil"/>
              <w:left w:val="nil"/>
              <w:bottom w:val="nil"/>
              <w:right w:val="nil"/>
            </w:tcBorders>
          </w:tcPr>
          <w:p w14:paraId="38CF429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0.980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(0.285)</w:t>
            </w:r>
          </w:p>
        </w:tc>
        <w:tc>
          <w:tcPr>
            <w:tcW w:w="1322" w:type="dxa"/>
            <w:tcBorders>
              <w:top w:val="nil"/>
              <w:left w:val="nil"/>
              <w:bottom w:val="nil"/>
              <w:right w:val="nil"/>
            </w:tcBorders>
          </w:tcPr>
          <w:p w14:paraId="0239F43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1.353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(0.299)</w:t>
            </w:r>
          </w:p>
        </w:tc>
        <w:tc>
          <w:tcPr>
            <w:tcW w:w="1322" w:type="dxa"/>
            <w:tcBorders>
              <w:top w:val="nil"/>
              <w:left w:val="nil"/>
              <w:bottom w:val="nil"/>
              <w:right w:val="nil"/>
            </w:tcBorders>
          </w:tcPr>
          <w:p w14:paraId="0459E02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1.216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(0.269)</w:t>
            </w:r>
          </w:p>
        </w:tc>
        <w:tc>
          <w:tcPr>
            <w:tcW w:w="1322" w:type="dxa"/>
            <w:tcBorders>
              <w:top w:val="nil"/>
              <w:left w:val="nil"/>
              <w:bottom w:val="nil"/>
              <w:right w:val="nil"/>
            </w:tcBorders>
          </w:tcPr>
          <w:p w14:paraId="06F8342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0.579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(0.289)</w:t>
            </w:r>
          </w:p>
        </w:tc>
      </w:tr>
      <w:tr w:rsidR="000849BC" w:rsidRPr="000849BC" w14:paraId="7488D44D" w14:textId="77777777" w:rsidTr="00D17B7B">
        <w:tc>
          <w:tcPr>
            <w:tcW w:w="1688" w:type="dxa"/>
            <w:tcBorders>
              <w:top w:val="nil"/>
              <w:left w:val="nil"/>
              <w:bottom w:val="nil"/>
              <w:right w:val="nil"/>
            </w:tcBorders>
          </w:tcPr>
          <w:p w14:paraId="3230AE8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5th quintile</w:t>
            </w:r>
          </w:p>
        </w:tc>
        <w:tc>
          <w:tcPr>
            <w:tcW w:w="1322" w:type="dxa"/>
            <w:tcBorders>
              <w:top w:val="nil"/>
              <w:left w:val="nil"/>
              <w:bottom w:val="nil"/>
              <w:right w:val="nil"/>
            </w:tcBorders>
          </w:tcPr>
          <w:p w14:paraId="10A3410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0.153</w:t>
            </w:r>
            <w:r w:rsidRPr="000849BC">
              <w:rPr>
                <w:rFonts w:eastAsiaTheme="minorEastAsia" w:cs="Times New Roman"/>
                <w:sz w:val="20"/>
                <w:szCs w:val="20"/>
                <w:lang w:val="en-US" w:eastAsia="ru-RU"/>
              </w:rPr>
              <w:br/>
              <w:t>(0.363)</w:t>
            </w:r>
          </w:p>
        </w:tc>
        <w:tc>
          <w:tcPr>
            <w:tcW w:w="1322" w:type="dxa"/>
            <w:tcBorders>
              <w:top w:val="nil"/>
              <w:left w:val="nil"/>
              <w:bottom w:val="nil"/>
              <w:right w:val="nil"/>
            </w:tcBorders>
          </w:tcPr>
          <w:p w14:paraId="6202DC9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0.045</w:t>
            </w:r>
            <w:r w:rsidRPr="000849BC">
              <w:rPr>
                <w:rFonts w:eastAsiaTheme="minorEastAsia" w:cs="Times New Roman"/>
                <w:sz w:val="20"/>
                <w:szCs w:val="20"/>
                <w:lang w:val="en-US" w:eastAsia="ru-RU"/>
              </w:rPr>
              <w:br/>
              <w:t>(0.353)</w:t>
            </w:r>
          </w:p>
        </w:tc>
        <w:tc>
          <w:tcPr>
            <w:tcW w:w="1322" w:type="dxa"/>
            <w:tcBorders>
              <w:top w:val="nil"/>
              <w:left w:val="nil"/>
              <w:bottom w:val="nil"/>
              <w:right w:val="nil"/>
            </w:tcBorders>
          </w:tcPr>
          <w:p w14:paraId="22D69E4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1.145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(0.384)</w:t>
            </w:r>
          </w:p>
        </w:tc>
        <w:tc>
          <w:tcPr>
            <w:tcW w:w="1322" w:type="dxa"/>
            <w:tcBorders>
              <w:top w:val="nil"/>
              <w:left w:val="nil"/>
              <w:bottom w:val="nil"/>
              <w:right w:val="nil"/>
            </w:tcBorders>
          </w:tcPr>
          <w:p w14:paraId="1E81B29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1.475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(0.391)</w:t>
            </w:r>
          </w:p>
        </w:tc>
        <w:tc>
          <w:tcPr>
            <w:tcW w:w="1322" w:type="dxa"/>
            <w:tcBorders>
              <w:top w:val="nil"/>
              <w:left w:val="nil"/>
              <w:bottom w:val="nil"/>
              <w:right w:val="nil"/>
            </w:tcBorders>
          </w:tcPr>
          <w:p w14:paraId="70AD7E0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0.537</w:t>
            </w:r>
            <w:r w:rsidRPr="000849BC">
              <w:rPr>
                <w:rFonts w:eastAsiaTheme="minorEastAsia" w:cs="Times New Roman"/>
                <w:sz w:val="20"/>
                <w:szCs w:val="20"/>
                <w:lang w:val="en-US" w:eastAsia="ru-RU"/>
              </w:rPr>
              <w:br/>
              <w:t>(0.389)</w:t>
            </w:r>
          </w:p>
        </w:tc>
        <w:tc>
          <w:tcPr>
            <w:tcW w:w="1322" w:type="dxa"/>
            <w:tcBorders>
              <w:top w:val="nil"/>
              <w:left w:val="nil"/>
              <w:bottom w:val="nil"/>
              <w:right w:val="nil"/>
            </w:tcBorders>
          </w:tcPr>
          <w:p w14:paraId="4AC7F82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1.059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(0.402)</w:t>
            </w:r>
          </w:p>
        </w:tc>
      </w:tr>
      <w:tr w:rsidR="000849BC" w:rsidRPr="000849BC" w14:paraId="7C42BD29" w14:textId="77777777" w:rsidTr="00D17B7B">
        <w:tc>
          <w:tcPr>
            <w:tcW w:w="1688" w:type="dxa"/>
            <w:tcBorders>
              <w:top w:val="nil"/>
              <w:left w:val="nil"/>
              <w:bottom w:val="nil"/>
              <w:right w:val="nil"/>
            </w:tcBorders>
          </w:tcPr>
          <w:p w14:paraId="404574C6"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2nd quintile</w:t>
            </w:r>
          </w:p>
        </w:tc>
        <w:tc>
          <w:tcPr>
            <w:tcW w:w="1322" w:type="dxa"/>
            <w:tcBorders>
              <w:top w:val="nil"/>
              <w:left w:val="nil"/>
              <w:bottom w:val="nil"/>
              <w:right w:val="nil"/>
            </w:tcBorders>
          </w:tcPr>
          <w:p w14:paraId="439DB1D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–0.271</w:t>
            </w:r>
            <w:r w:rsidRPr="000849BC">
              <w:rPr>
                <w:rFonts w:eastAsiaTheme="minorEastAsia" w:cs="Times New Roman"/>
                <w:sz w:val="20"/>
                <w:szCs w:val="20"/>
                <w:lang w:val="en-US" w:eastAsia="ru-RU"/>
              </w:rPr>
              <w:br/>
              <w:t>(0.378)</w:t>
            </w:r>
          </w:p>
        </w:tc>
        <w:tc>
          <w:tcPr>
            <w:tcW w:w="1322" w:type="dxa"/>
            <w:tcBorders>
              <w:top w:val="nil"/>
              <w:left w:val="nil"/>
              <w:bottom w:val="nil"/>
              <w:right w:val="nil"/>
            </w:tcBorders>
          </w:tcPr>
          <w:p w14:paraId="13BD2E4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–0.313</w:t>
            </w:r>
            <w:r w:rsidRPr="000849BC">
              <w:rPr>
                <w:rFonts w:eastAsiaTheme="minorEastAsia" w:cs="Times New Roman"/>
                <w:sz w:val="20"/>
                <w:szCs w:val="20"/>
                <w:lang w:val="en-US" w:eastAsia="ru-RU"/>
              </w:rPr>
              <w:br/>
              <w:t>(0.372)</w:t>
            </w:r>
          </w:p>
        </w:tc>
        <w:tc>
          <w:tcPr>
            <w:tcW w:w="1322" w:type="dxa"/>
            <w:tcBorders>
              <w:top w:val="nil"/>
              <w:left w:val="nil"/>
              <w:bottom w:val="nil"/>
              <w:right w:val="nil"/>
            </w:tcBorders>
          </w:tcPr>
          <w:p w14:paraId="5BA4F5B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–0.091</w:t>
            </w:r>
            <w:r w:rsidRPr="000849BC">
              <w:rPr>
                <w:rFonts w:eastAsiaTheme="minorEastAsia" w:cs="Times New Roman"/>
                <w:sz w:val="20"/>
                <w:szCs w:val="20"/>
                <w:lang w:val="en-US" w:eastAsia="ru-RU"/>
              </w:rPr>
              <w:br/>
              <w:t>(0.384)</w:t>
            </w:r>
          </w:p>
        </w:tc>
        <w:tc>
          <w:tcPr>
            <w:tcW w:w="1322" w:type="dxa"/>
            <w:tcBorders>
              <w:top w:val="nil"/>
              <w:left w:val="nil"/>
              <w:bottom w:val="nil"/>
              <w:right w:val="nil"/>
            </w:tcBorders>
          </w:tcPr>
          <w:p w14:paraId="62744A5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–1.046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(0.417)</w:t>
            </w:r>
          </w:p>
        </w:tc>
        <w:tc>
          <w:tcPr>
            <w:tcW w:w="1322" w:type="dxa"/>
            <w:tcBorders>
              <w:top w:val="nil"/>
              <w:left w:val="nil"/>
              <w:bottom w:val="nil"/>
              <w:right w:val="nil"/>
            </w:tcBorders>
          </w:tcPr>
          <w:p w14:paraId="2255076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–0.359</w:t>
            </w:r>
            <w:r w:rsidRPr="000849BC">
              <w:rPr>
                <w:rFonts w:eastAsiaTheme="minorEastAsia" w:cs="Times New Roman"/>
                <w:sz w:val="20"/>
                <w:szCs w:val="20"/>
                <w:lang w:val="en-US" w:eastAsia="ru-RU"/>
              </w:rPr>
              <w:br/>
              <w:t>(0.389)</w:t>
            </w:r>
          </w:p>
        </w:tc>
        <w:tc>
          <w:tcPr>
            <w:tcW w:w="1322" w:type="dxa"/>
            <w:tcBorders>
              <w:top w:val="nil"/>
              <w:left w:val="nil"/>
              <w:bottom w:val="nil"/>
              <w:right w:val="nil"/>
            </w:tcBorders>
          </w:tcPr>
          <w:p w14:paraId="3309064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0.049</w:t>
            </w:r>
            <w:r w:rsidRPr="000849BC">
              <w:rPr>
                <w:rFonts w:eastAsiaTheme="minorEastAsia" w:cs="Times New Roman"/>
                <w:sz w:val="20"/>
                <w:szCs w:val="20"/>
                <w:lang w:val="en-US" w:eastAsia="ru-RU"/>
              </w:rPr>
              <w:br/>
              <w:t>(0.383)</w:t>
            </w:r>
          </w:p>
        </w:tc>
      </w:tr>
      <w:tr w:rsidR="000849BC" w:rsidRPr="000849BC" w14:paraId="6651C233" w14:textId="77777777" w:rsidTr="00D17B7B">
        <w:tc>
          <w:tcPr>
            <w:tcW w:w="1688" w:type="dxa"/>
            <w:tcBorders>
              <w:top w:val="nil"/>
              <w:left w:val="nil"/>
              <w:bottom w:val="nil"/>
              <w:right w:val="nil"/>
            </w:tcBorders>
          </w:tcPr>
          <w:p w14:paraId="275FD943"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3rd quintile</w:t>
            </w:r>
          </w:p>
        </w:tc>
        <w:tc>
          <w:tcPr>
            <w:tcW w:w="1322" w:type="dxa"/>
            <w:tcBorders>
              <w:top w:val="nil"/>
              <w:left w:val="nil"/>
              <w:bottom w:val="nil"/>
              <w:right w:val="nil"/>
            </w:tcBorders>
          </w:tcPr>
          <w:p w14:paraId="231EB37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0.472</w:t>
            </w:r>
            <w:r w:rsidRPr="000849BC">
              <w:rPr>
                <w:rFonts w:eastAsiaTheme="minorEastAsia" w:cs="Times New Roman"/>
                <w:sz w:val="20"/>
                <w:szCs w:val="20"/>
                <w:lang w:val="en-US" w:eastAsia="ru-RU"/>
              </w:rPr>
              <w:br/>
              <w:t>(0.397)</w:t>
            </w:r>
          </w:p>
        </w:tc>
        <w:tc>
          <w:tcPr>
            <w:tcW w:w="1322" w:type="dxa"/>
            <w:tcBorders>
              <w:top w:val="nil"/>
              <w:left w:val="nil"/>
              <w:bottom w:val="nil"/>
              <w:right w:val="nil"/>
            </w:tcBorders>
          </w:tcPr>
          <w:p w14:paraId="6BD8753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–0.127</w:t>
            </w:r>
            <w:r w:rsidRPr="000849BC">
              <w:rPr>
                <w:rFonts w:eastAsiaTheme="minorEastAsia" w:cs="Times New Roman"/>
                <w:sz w:val="20"/>
                <w:szCs w:val="20"/>
                <w:lang w:val="en-US" w:eastAsia="ru-RU"/>
              </w:rPr>
              <w:br/>
              <w:t>(0.400)</w:t>
            </w:r>
          </w:p>
        </w:tc>
        <w:tc>
          <w:tcPr>
            <w:tcW w:w="1322" w:type="dxa"/>
            <w:tcBorders>
              <w:top w:val="nil"/>
              <w:left w:val="nil"/>
              <w:bottom w:val="nil"/>
              <w:right w:val="nil"/>
            </w:tcBorders>
          </w:tcPr>
          <w:p w14:paraId="6A15784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–0.795</w:t>
            </w:r>
            <w:r w:rsidRPr="000849BC">
              <w:rPr>
                <w:rFonts w:eastAsiaTheme="minorEastAsia" w:cs="Times New Roman"/>
                <w:sz w:val="20"/>
                <w:szCs w:val="20"/>
                <w:lang w:val="en-US" w:eastAsia="ru-RU"/>
              </w:rPr>
              <w:br/>
              <w:t>(0.409)</w:t>
            </w:r>
          </w:p>
        </w:tc>
        <w:tc>
          <w:tcPr>
            <w:tcW w:w="1322" w:type="dxa"/>
            <w:tcBorders>
              <w:top w:val="nil"/>
              <w:left w:val="nil"/>
              <w:bottom w:val="nil"/>
              <w:right w:val="nil"/>
            </w:tcBorders>
          </w:tcPr>
          <w:p w14:paraId="54B4FA2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–1.322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(0.416)</w:t>
            </w:r>
          </w:p>
        </w:tc>
        <w:tc>
          <w:tcPr>
            <w:tcW w:w="1322" w:type="dxa"/>
            <w:tcBorders>
              <w:top w:val="nil"/>
              <w:left w:val="nil"/>
              <w:bottom w:val="nil"/>
              <w:right w:val="nil"/>
            </w:tcBorders>
          </w:tcPr>
          <w:p w14:paraId="3DEDEF1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–0.274</w:t>
            </w:r>
            <w:r w:rsidRPr="000849BC">
              <w:rPr>
                <w:rFonts w:eastAsiaTheme="minorEastAsia" w:cs="Times New Roman"/>
                <w:sz w:val="20"/>
                <w:szCs w:val="20"/>
                <w:lang w:val="en-US" w:eastAsia="ru-RU"/>
              </w:rPr>
              <w:br/>
              <w:t>(0.417)</w:t>
            </w:r>
          </w:p>
        </w:tc>
        <w:tc>
          <w:tcPr>
            <w:tcW w:w="1322" w:type="dxa"/>
            <w:tcBorders>
              <w:top w:val="nil"/>
              <w:left w:val="nil"/>
              <w:bottom w:val="nil"/>
              <w:right w:val="nil"/>
            </w:tcBorders>
          </w:tcPr>
          <w:p w14:paraId="6BF9B99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–0.524</w:t>
            </w:r>
            <w:r w:rsidRPr="000849BC">
              <w:rPr>
                <w:rFonts w:eastAsiaTheme="minorEastAsia" w:cs="Times New Roman"/>
                <w:sz w:val="20"/>
                <w:szCs w:val="20"/>
                <w:lang w:val="en-US" w:eastAsia="ru-RU"/>
              </w:rPr>
              <w:br/>
              <w:t>(0.414)</w:t>
            </w:r>
          </w:p>
        </w:tc>
      </w:tr>
      <w:tr w:rsidR="000849BC" w:rsidRPr="000849BC" w14:paraId="505FBCE5" w14:textId="77777777" w:rsidTr="00D17B7B">
        <w:tc>
          <w:tcPr>
            <w:tcW w:w="1688" w:type="dxa"/>
            <w:tcBorders>
              <w:top w:val="nil"/>
              <w:left w:val="nil"/>
              <w:bottom w:val="nil"/>
              <w:right w:val="nil"/>
            </w:tcBorders>
          </w:tcPr>
          <w:p w14:paraId="69941164"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4th quintile</w:t>
            </w:r>
          </w:p>
        </w:tc>
        <w:tc>
          <w:tcPr>
            <w:tcW w:w="1322" w:type="dxa"/>
            <w:tcBorders>
              <w:top w:val="nil"/>
              <w:left w:val="nil"/>
              <w:bottom w:val="nil"/>
              <w:right w:val="nil"/>
            </w:tcBorders>
          </w:tcPr>
          <w:p w14:paraId="706C149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–0.443</w:t>
            </w:r>
            <w:r w:rsidRPr="000849BC">
              <w:rPr>
                <w:rFonts w:eastAsiaTheme="minorEastAsia" w:cs="Times New Roman"/>
                <w:sz w:val="20"/>
                <w:szCs w:val="20"/>
                <w:lang w:val="en-US" w:eastAsia="ru-RU"/>
              </w:rPr>
              <w:br/>
              <w:t>(0.448)</w:t>
            </w:r>
          </w:p>
        </w:tc>
        <w:tc>
          <w:tcPr>
            <w:tcW w:w="1322" w:type="dxa"/>
            <w:tcBorders>
              <w:top w:val="nil"/>
              <w:left w:val="nil"/>
              <w:bottom w:val="nil"/>
              <w:right w:val="nil"/>
            </w:tcBorders>
          </w:tcPr>
          <w:p w14:paraId="7D601C2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0.185</w:t>
            </w:r>
            <w:r w:rsidRPr="000849BC">
              <w:rPr>
                <w:rFonts w:eastAsiaTheme="minorEastAsia" w:cs="Times New Roman"/>
                <w:sz w:val="20"/>
                <w:szCs w:val="20"/>
                <w:lang w:val="en-US" w:eastAsia="ru-RU"/>
              </w:rPr>
              <w:br/>
              <w:t>(0.429)</w:t>
            </w:r>
          </w:p>
        </w:tc>
        <w:tc>
          <w:tcPr>
            <w:tcW w:w="1322" w:type="dxa"/>
            <w:tcBorders>
              <w:top w:val="nil"/>
              <w:left w:val="nil"/>
              <w:bottom w:val="nil"/>
              <w:right w:val="nil"/>
            </w:tcBorders>
          </w:tcPr>
          <w:p w14:paraId="6B25293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–0.061</w:t>
            </w:r>
            <w:r w:rsidRPr="000849BC">
              <w:rPr>
                <w:rFonts w:eastAsiaTheme="minorEastAsia" w:cs="Times New Roman"/>
                <w:sz w:val="20"/>
                <w:szCs w:val="20"/>
                <w:lang w:val="en-US" w:eastAsia="ru-RU"/>
              </w:rPr>
              <w:br/>
              <w:t>(0.467)</w:t>
            </w:r>
          </w:p>
        </w:tc>
        <w:tc>
          <w:tcPr>
            <w:tcW w:w="1322" w:type="dxa"/>
            <w:tcBorders>
              <w:top w:val="nil"/>
              <w:left w:val="nil"/>
              <w:bottom w:val="nil"/>
              <w:right w:val="nil"/>
            </w:tcBorders>
          </w:tcPr>
          <w:p w14:paraId="0BABC2A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–0.947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(0.444)</w:t>
            </w:r>
          </w:p>
        </w:tc>
        <w:tc>
          <w:tcPr>
            <w:tcW w:w="1322" w:type="dxa"/>
            <w:tcBorders>
              <w:top w:val="nil"/>
              <w:left w:val="nil"/>
              <w:bottom w:val="nil"/>
              <w:right w:val="nil"/>
            </w:tcBorders>
          </w:tcPr>
          <w:p w14:paraId="5756809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–1.034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(0.425)</w:t>
            </w:r>
          </w:p>
        </w:tc>
        <w:tc>
          <w:tcPr>
            <w:tcW w:w="1322" w:type="dxa"/>
            <w:tcBorders>
              <w:top w:val="nil"/>
              <w:left w:val="nil"/>
              <w:bottom w:val="nil"/>
              <w:right w:val="nil"/>
            </w:tcBorders>
          </w:tcPr>
          <w:p w14:paraId="2C90F6F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0.047</w:t>
            </w:r>
            <w:r w:rsidRPr="000849BC">
              <w:rPr>
                <w:rFonts w:eastAsiaTheme="minorEastAsia" w:cs="Times New Roman"/>
                <w:sz w:val="20"/>
                <w:szCs w:val="20"/>
                <w:lang w:val="en-US" w:eastAsia="ru-RU"/>
              </w:rPr>
              <w:br/>
              <w:t>(0.453)</w:t>
            </w:r>
          </w:p>
        </w:tc>
      </w:tr>
      <w:tr w:rsidR="000849BC" w:rsidRPr="000849BC" w14:paraId="7D96127F" w14:textId="77777777" w:rsidTr="00D17B7B">
        <w:tc>
          <w:tcPr>
            <w:tcW w:w="1688" w:type="dxa"/>
            <w:tcBorders>
              <w:top w:val="nil"/>
              <w:left w:val="nil"/>
              <w:bottom w:val="nil"/>
              <w:right w:val="nil"/>
            </w:tcBorders>
          </w:tcPr>
          <w:p w14:paraId="03DE828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5th quintile</w:t>
            </w:r>
          </w:p>
        </w:tc>
        <w:tc>
          <w:tcPr>
            <w:tcW w:w="1322" w:type="dxa"/>
            <w:tcBorders>
              <w:top w:val="nil"/>
              <w:left w:val="nil"/>
              <w:bottom w:val="nil"/>
              <w:right w:val="nil"/>
            </w:tcBorders>
          </w:tcPr>
          <w:p w14:paraId="0A410BC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0.703</w:t>
            </w:r>
            <w:r w:rsidRPr="000849BC">
              <w:rPr>
                <w:rFonts w:eastAsiaTheme="minorEastAsia" w:cs="Times New Roman"/>
                <w:sz w:val="20"/>
                <w:szCs w:val="20"/>
                <w:lang w:val="en-US" w:eastAsia="ru-RU"/>
              </w:rPr>
              <w:br/>
              <w:t>(0.525)</w:t>
            </w:r>
          </w:p>
        </w:tc>
        <w:tc>
          <w:tcPr>
            <w:tcW w:w="1322" w:type="dxa"/>
            <w:tcBorders>
              <w:top w:val="nil"/>
              <w:left w:val="nil"/>
              <w:bottom w:val="nil"/>
              <w:right w:val="nil"/>
            </w:tcBorders>
          </w:tcPr>
          <w:p w14:paraId="7C6E336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0.154</w:t>
            </w:r>
            <w:r w:rsidRPr="000849BC">
              <w:rPr>
                <w:rFonts w:eastAsiaTheme="minorEastAsia" w:cs="Times New Roman"/>
                <w:sz w:val="20"/>
                <w:szCs w:val="20"/>
                <w:lang w:val="en-US" w:eastAsia="ru-RU"/>
              </w:rPr>
              <w:br/>
              <w:t>(0.524)</w:t>
            </w:r>
          </w:p>
        </w:tc>
        <w:tc>
          <w:tcPr>
            <w:tcW w:w="1322" w:type="dxa"/>
            <w:tcBorders>
              <w:top w:val="nil"/>
              <w:left w:val="nil"/>
              <w:bottom w:val="nil"/>
              <w:right w:val="nil"/>
            </w:tcBorders>
          </w:tcPr>
          <w:p w14:paraId="2AB7BDC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–0.390</w:t>
            </w:r>
            <w:r w:rsidRPr="000849BC">
              <w:rPr>
                <w:rFonts w:eastAsiaTheme="minorEastAsia" w:cs="Times New Roman"/>
                <w:sz w:val="20"/>
                <w:szCs w:val="20"/>
                <w:lang w:val="en-US" w:eastAsia="ru-RU"/>
              </w:rPr>
              <w:br/>
              <w:t>(0.555)</w:t>
            </w:r>
          </w:p>
        </w:tc>
        <w:tc>
          <w:tcPr>
            <w:tcW w:w="1322" w:type="dxa"/>
            <w:tcBorders>
              <w:top w:val="nil"/>
              <w:left w:val="nil"/>
              <w:bottom w:val="nil"/>
              <w:right w:val="nil"/>
            </w:tcBorders>
          </w:tcPr>
          <w:p w14:paraId="65F86BC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–0.231</w:t>
            </w:r>
            <w:r w:rsidRPr="000849BC">
              <w:rPr>
                <w:rFonts w:eastAsiaTheme="minorEastAsia" w:cs="Times New Roman"/>
                <w:sz w:val="20"/>
                <w:szCs w:val="20"/>
                <w:lang w:val="en-US" w:eastAsia="ru-RU"/>
              </w:rPr>
              <w:br/>
              <w:t>(0.599)</w:t>
            </w:r>
          </w:p>
        </w:tc>
        <w:tc>
          <w:tcPr>
            <w:tcW w:w="1322" w:type="dxa"/>
            <w:tcBorders>
              <w:top w:val="nil"/>
              <w:left w:val="nil"/>
              <w:bottom w:val="nil"/>
              <w:right w:val="nil"/>
            </w:tcBorders>
          </w:tcPr>
          <w:p w14:paraId="064AE3F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0.098</w:t>
            </w:r>
            <w:r w:rsidRPr="000849BC">
              <w:rPr>
                <w:rFonts w:eastAsiaTheme="minorEastAsia" w:cs="Times New Roman"/>
                <w:sz w:val="20"/>
                <w:szCs w:val="20"/>
                <w:lang w:val="en-US" w:eastAsia="ru-RU"/>
              </w:rPr>
              <w:br/>
              <w:t>(0.565)</w:t>
            </w:r>
          </w:p>
        </w:tc>
        <w:tc>
          <w:tcPr>
            <w:tcW w:w="1322" w:type="dxa"/>
            <w:tcBorders>
              <w:top w:val="nil"/>
              <w:left w:val="nil"/>
              <w:bottom w:val="nil"/>
              <w:right w:val="nil"/>
            </w:tcBorders>
          </w:tcPr>
          <w:p w14:paraId="0218698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0.031</w:t>
            </w:r>
            <w:r w:rsidRPr="000849BC">
              <w:rPr>
                <w:rFonts w:eastAsiaTheme="minorEastAsia" w:cs="Times New Roman"/>
                <w:sz w:val="20"/>
                <w:szCs w:val="20"/>
                <w:lang w:val="en-US" w:eastAsia="ru-RU"/>
              </w:rPr>
              <w:br/>
              <w:t>(0.596)</w:t>
            </w:r>
          </w:p>
        </w:tc>
      </w:tr>
      <w:tr w:rsidR="000849BC" w:rsidRPr="000849BC" w14:paraId="4211768A" w14:textId="77777777" w:rsidTr="00D17B7B">
        <w:tc>
          <w:tcPr>
            <w:tcW w:w="1688" w:type="dxa"/>
            <w:tcBorders>
              <w:top w:val="nil"/>
              <w:left w:val="nil"/>
              <w:bottom w:val="nil"/>
              <w:right w:val="nil"/>
            </w:tcBorders>
          </w:tcPr>
          <w:p w14:paraId="01508EE6"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1322" w:type="dxa"/>
            <w:tcBorders>
              <w:top w:val="nil"/>
              <w:left w:val="nil"/>
              <w:bottom w:val="nil"/>
              <w:right w:val="nil"/>
            </w:tcBorders>
          </w:tcPr>
          <w:p w14:paraId="0A86C23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–2.456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(0.185)</w:t>
            </w:r>
          </w:p>
        </w:tc>
        <w:tc>
          <w:tcPr>
            <w:tcW w:w="1322" w:type="dxa"/>
            <w:tcBorders>
              <w:top w:val="nil"/>
              <w:left w:val="nil"/>
              <w:bottom w:val="nil"/>
              <w:right w:val="nil"/>
            </w:tcBorders>
          </w:tcPr>
          <w:p w14:paraId="6ED61F8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–2.405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(0.187)</w:t>
            </w:r>
          </w:p>
        </w:tc>
        <w:tc>
          <w:tcPr>
            <w:tcW w:w="1322" w:type="dxa"/>
            <w:tcBorders>
              <w:top w:val="nil"/>
              <w:left w:val="nil"/>
              <w:bottom w:val="nil"/>
              <w:right w:val="nil"/>
            </w:tcBorders>
          </w:tcPr>
          <w:p w14:paraId="2783ADE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–2.652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(0.201)</w:t>
            </w:r>
          </w:p>
        </w:tc>
        <w:tc>
          <w:tcPr>
            <w:tcW w:w="1322" w:type="dxa"/>
            <w:tcBorders>
              <w:top w:val="nil"/>
              <w:left w:val="nil"/>
              <w:bottom w:val="nil"/>
              <w:right w:val="nil"/>
            </w:tcBorders>
          </w:tcPr>
          <w:p w14:paraId="01B3801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–2.890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(0.230)</w:t>
            </w:r>
          </w:p>
        </w:tc>
        <w:tc>
          <w:tcPr>
            <w:tcW w:w="1322" w:type="dxa"/>
            <w:tcBorders>
              <w:top w:val="nil"/>
              <w:left w:val="nil"/>
              <w:bottom w:val="nil"/>
              <w:right w:val="nil"/>
            </w:tcBorders>
          </w:tcPr>
          <w:p w14:paraId="5E46A26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–2.551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(0.202)</w:t>
            </w:r>
          </w:p>
        </w:tc>
        <w:tc>
          <w:tcPr>
            <w:tcW w:w="1322" w:type="dxa"/>
            <w:tcBorders>
              <w:top w:val="nil"/>
              <w:left w:val="nil"/>
              <w:bottom w:val="nil"/>
              <w:right w:val="nil"/>
            </w:tcBorders>
          </w:tcPr>
          <w:p w14:paraId="56D19A1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–2.532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(0.194)</w:t>
            </w:r>
          </w:p>
        </w:tc>
      </w:tr>
      <w:tr w:rsidR="000849BC" w:rsidRPr="000849BC" w14:paraId="406E59E9" w14:textId="77777777" w:rsidTr="00D17B7B">
        <w:tc>
          <w:tcPr>
            <w:tcW w:w="9620" w:type="dxa"/>
            <w:gridSpan w:val="7"/>
            <w:tcBorders>
              <w:top w:val="single" w:sz="4" w:space="0" w:color="auto"/>
              <w:left w:val="nil"/>
              <w:bottom w:val="nil"/>
              <w:right w:val="nil"/>
            </w:tcBorders>
          </w:tcPr>
          <w:p w14:paraId="32FD749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Other unclassified pathways</w:t>
            </w:r>
          </w:p>
        </w:tc>
      </w:tr>
      <w:tr w:rsidR="000849BC" w:rsidRPr="000849BC" w14:paraId="2644B7F7" w14:textId="77777777" w:rsidTr="00D17B7B">
        <w:tc>
          <w:tcPr>
            <w:tcW w:w="1688" w:type="dxa"/>
            <w:tcBorders>
              <w:top w:val="nil"/>
              <w:left w:val="nil"/>
              <w:bottom w:val="nil"/>
              <w:right w:val="nil"/>
            </w:tcBorders>
          </w:tcPr>
          <w:p w14:paraId="647C1B0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1322" w:type="dxa"/>
            <w:tcBorders>
              <w:top w:val="nil"/>
              <w:left w:val="nil"/>
              <w:bottom w:val="nil"/>
              <w:right w:val="nil"/>
            </w:tcBorders>
          </w:tcPr>
          <w:p w14:paraId="0826D90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0.328</w:t>
            </w:r>
            <w:r w:rsidRPr="000849BC">
              <w:rPr>
                <w:rFonts w:eastAsiaTheme="minorEastAsia" w:cs="Times New Roman"/>
                <w:sz w:val="20"/>
                <w:szCs w:val="20"/>
                <w:lang w:val="en-US" w:eastAsia="ru-RU"/>
              </w:rPr>
              <w:br/>
              <w:t>(0.253)</w:t>
            </w:r>
          </w:p>
        </w:tc>
        <w:tc>
          <w:tcPr>
            <w:tcW w:w="1322" w:type="dxa"/>
            <w:tcBorders>
              <w:top w:val="nil"/>
              <w:left w:val="nil"/>
              <w:bottom w:val="nil"/>
              <w:right w:val="nil"/>
            </w:tcBorders>
          </w:tcPr>
          <w:p w14:paraId="555FCAF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0.197</w:t>
            </w:r>
            <w:r w:rsidRPr="000849BC">
              <w:rPr>
                <w:rFonts w:eastAsiaTheme="minorEastAsia" w:cs="Times New Roman"/>
                <w:sz w:val="20"/>
                <w:szCs w:val="20"/>
                <w:lang w:val="en-US" w:eastAsia="ru-RU"/>
              </w:rPr>
              <w:br/>
              <w:t>(0.258)</w:t>
            </w:r>
          </w:p>
        </w:tc>
        <w:tc>
          <w:tcPr>
            <w:tcW w:w="1322" w:type="dxa"/>
            <w:tcBorders>
              <w:top w:val="nil"/>
              <w:left w:val="nil"/>
              <w:bottom w:val="nil"/>
              <w:right w:val="nil"/>
            </w:tcBorders>
          </w:tcPr>
          <w:p w14:paraId="56F92F4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0.245</w:t>
            </w:r>
            <w:r w:rsidRPr="000849BC">
              <w:rPr>
                <w:rFonts w:eastAsiaTheme="minorEastAsia" w:cs="Times New Roman"/>
                <w:sz w:val="20"/>
                <w:szCs w:val="20"/>
                <w:lang w:val="en-US" w:eastAsia="ru-RU"/>
              </w:rPr>
              <w:br/>
              <w:t>(0.269)</w:t>
            </w:r>
          </w:p>
        </w:tc>
        <w:tc>
          <w:tcPr>
            <w:tcW w:w="1322" w:type="dxa"/>
            <w:tcBorders>
              <w:top w:val="nil"/>
              <w:left w:val="nil"/>
              <w:bottom w:val="nil"/>
              <w:right w:val="nil"/>
            </w:tcBorders>
          </w:tcPr>
          <w:p w14:paraId="3097ABA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0.364</w:t>
            </w:r>
            <w:r w:rsidRPr="000849BC">
              <w:rPr>
                <w:rFonts w:eastAsiaTheme="minorEastAsia" w:cs="Times New Roman"/>
                <w:sz w:val="20"/>
                <w:szCs w:val="20"/>
                <w:lang w:val="en-US" w:eastAsia="ru-RU"/>
              </w:rPr>
              <w:br/>
              <w:t>(0.256)</w:t>
            </w:r>
          </w:p>
        </w:tc>
        <w:tc>
          <w:tcPr>
            <w:tcW w:w="1322" w:type="dxa"/>
            <w:tcBorders>
              <w:top w:val="nil"/>
              <w:left w:val="nil"/>
              <w:bottom w:val="nil"/>
              <w:right w:val="nil"/>
            </w:tcBorders>
          </w:tcPr>
          <w:p w14:paraId="45A219D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0.112</w:t>
            </w:r>
            <w:r w:rsidRPr="000849BC">
              <w:rPr>
                <w:rFonts w:eastAsiaTheme="minorEastAsia" w:cs="Times New Roman"/>
                <w:sz w:val="20"/>
                <w:szCs w:val="20"/>
                <w:lang w:val="en-US" w:eastAsia="ru-RU"/>
              </w:rPr>
              <w:br/>
              <w:t>(0.279)</w:t>
            </w:r>
          </w:p>
        </w:tc>
        <w:tc>
          <w:tcPr>
            <w:tcW w:w="1322" w:type="dxa"/>
            <w:tcBorders>
              <w:top w:val="nil"/>
              <w:left w:val="nil"/>
              <w:bottom w:val="nil"/>
              <w:right w:val="nil"/>
            </w:tcBorders>
          </w:tcPr>
          <w:p w14:paraId="76C6089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0.162</w:t>
            </w:r>
            <w:r w:rsidRPr="000849BC">
              <w:rPr>
                <w:rFonts w:eastAsiaTheme="minorEastAsia" w:cs="Times New Roman"/>
                <w:sz w:val="20"/>
                <w:szCs w:val="20"/>
                <w:lang w:val="en-US" w:eastAsia="ru-RU"/>
              </w:rPr>
              <w:br/>
              <w:t>(0.268)</w:t>
            </w:r>
          </w:p>
        </w:tc>
      </w:tr>
      <w:tr w:rsidR="000849BC" w:rsidRPr="000849BC" w14:paraId="283A393A" w14:textId="77777777" w:rsidTr="00D17B7B">
        <w:tc>
          <w:tcPr>
            <w:tcW w:w="1688" w:type="dxa"/>
            <w:tcBorders>
              <w:top w:val="nil"/>
              <w:left w:val="nil"/>
              <w:bottom w:val="nil"/>
              <w:right w:val="nil"/>
            </w:tcBorders>
          </w:tcPr>
          <w:p w14:paraId="3552453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 – 2nd quintile</w:t>
            </w:r>
          </w:p>
        </w:tc>
        <w:tc>
          <w:tcPr>
            <w:tcW w:w="1322" w:type="dxa"/>
            <w:tcBorders>
              <w:top w:val="nil"/>
              <w:left w:val="nil"/>
              <w:bottom w:val="nil"/>
              <w:right w:val="nil"/>
            </w:tcBorders>
          </w:tcPr>
          <w:p w14:paraId="30370C1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0.501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(0.186)</w:t>
            </w:r>
          </w:p>
        </w:tc>
        <w:tc>
          <w:tcPr>
            <w:tcW w:w="1322" w:type="dxa"/>
            <w:tcBorders>
              <w:top w:val="nil"/>
              <w:left w:val="nil"/>
              <w:bottom w:val="nil"/>
              <w:right w:val="nil"/>
            </w:tcBorders>
          </w:tcPr>
          <w:p w14:paraId="4AD729B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0.307</w:t>
            </w:r>
            <w:r w:rsidRPr="000849BC">
              <w:rPr>
                <w:rFonts w:eastAsiaTheme="minorEastAsia" w:cs="Times New Roman"/>
                <w:sz w:val="20"/>
                <w:szCs w:val="20"/>
                <w:lang w:val="en-US" w:eastAsia="ru-RU"/>
              </w:rPr>
              <w:br/>
              <w:t>(0.186)</w:t>
            </w:r>
          </w:p>
        </w:tc>
        <w:tc>
          <w:tcPr>
            <w:tcW w:w="1322" w:type="dxa"/>
            <w:tcBorders>
              <w:top w:val="nil"/>
              <w:left w:val="nil"/>
              <w:bottom w:val="nil"/>
              <w:right w:val="nil"/>
            </w:tcBorders>
          </w:tcPr>
          <w:p w14:paraId="3B68322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0.360</w:t>
            </w:r>
            <w:r w:rsidRPr="000849BC">
              <w:rPr>
                <w:rFonts w:eastAsiaTheme="minorEastAsia" w:cs="Times New Roman"/>
                <w:sz w:val="20"/>
                <w:szCs w:val="20"/>
                <w:lang w:val="en-US" w:eastAsia="ru-RU"/>
              </w:rPr>
              <w:br/>
              <w:t>(0.193)</w:t>
            </w:r>
          </w:p>
        </w:tc>
        <w:tc>
          <w:tcPr>
            <w:tcW w:w="1322" w:type="dxa"/>
            <w:tcBorders>
              <w:top w:val="nil"/>
              <w:left w:val="nil"/>
              <w:bottom w:val="nil"/>
              <w:right w:val="nil"/>
            </w:tcBorders>
          </w:tcPr>
          <w:p w14:paraId="27584EB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0.412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(0.191)</w:t>
            </w:r>
          </w:p>
        </w:tc>
        <w:tc>
          <w:tcPr>
            <w:tcW w:w="1322" w:type="dxa"/>
            <w:tcBorders>
              <w:top w:val="nil"/>
              <w:left w:val="nil"/>
              <w:bottom w:val="nil"/>
              <w:right w:val="nil"/>
            </w:tcBorders>
          </w:tcPr>
          <w:p w14:paraId="01CFBE5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0.286</w:t>
            </w:r>
            <w:r w:rsidRPr="000849BC">
              <w:rPr>
                <w:rFonts w:eastAsiaTheme="minorEastAsia" w:cs="Times New Roman"/>
                <w:sz w:val="20"/>
                <w:szCs w:val="20"/>
                <w:lang w:val="en-US" w:eastAsia="ru-RU"/>
              </w:rPr>
              <w:br/>
              <w:t>(0.190)</w:t>
            </w:r>
          </w:p>
        </w:tc>
        <w:tc>
          <w:tcPr>
            <w:tcW w:w="1322" w:type="dxa"/>
            <w:tcBorders>
              <w:top w:val="nil"/>
              <w:left w:val="nil"/>
              <w:bottom w:val="nil"/>
              <w:right w:val="nil"/>
            </w:tcBorders>
          </w:tcPr>
          <w:p w14:paraId="19C4A6A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0.417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(0.193)</w:t>
            </w:r>
          </w:p>
        </w:tc>
      </w:tr>
      <w:tr w:rsidR="000849BC" w:rsidRPr="000849BC" w14:paraId="5AC270AA" w14:textId="77777777" w:rsidTr="00D17B7B">
        <w:tc>
          <w:tcPr>
            <w:tcW w:w="1688" w:type="dxa"/>
            <w:tcBorders>
              <w:top w:val="nil"/>
              <w:left w:val="nil"/>
              <w:bottom w:val="nil"/>
              <w:right w:val="nil"/>
            </w:tcBorders>
          </w:tcPr>
          <w:p w14:paraId="5CB22768"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3rd quintile)</w:t>
            </w:r>
          </w:p>
        </w:tc>
        <w:tc>
          <w:tcPr>
            <w:tcW w:w="1322" w:type="dxa"/>
            <w:tcBorders>
              <w:top w:val="nil"/>
              <w:left w:val="nil"/>
              <w:bottom w:val="nil"/>
              <w:right w:val="nil"/>
            </w:tcBorders>
          </w:tcPr>
          <w:p w14:paraId="399EA99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0.520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(0.198)</w:t>
            </w:r>
          </w:p>
        </w:tc>
        <w:tc>
          <w:tcPr>
            <w:tcW w:w="1322" w:type="dxa"/>
            <w:tcBorders>
              <w:top w:val="nil"/>
              <w:left w:val="nil"/>
              <w:bottom w:val="nil"/>
              <w:right w:val="nil"/>
            </w:tcBorders>
          </w:tcPr>
          <w:p w14:paraId="16DD7D9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0.435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(0.198)</w:t>
            </w:r>
          </w:p>
        </w:tc>
        <w:tc>
          <w:tcPr>
            <w:tcW w:w="1322" w:type="dxa"/>
            <w:tcBorders>
              <w:top w:val="nil"/>
              <w:left w:val="nil"/>
              <w:bottom w:val="nil"/>
              <w:right w:val="nil"/>
            </w:tcBorders>
          </w:tcPr>
          <w:p w14:paraId="4A2710D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0.530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(0.211)</w:t>
            </w:r>
          </w:p>
        </w:tc>
        <w:tc>
          <w:tcPr>
            <w:tcW w:w="1322" w:type="dxa"/>
            <w:tcBorders>
              <w:top w:val="nil"/>
              <w:left w:val="nil"/>
              <w:bottom w:val="nil"/>
              <w:right w:val="nil"/>
            </w:tcBorders>
          </w:tcPr>
          <w:p w14:paraId="57BE214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0.628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(0.205)</w:t>
            </w:r>
          </w:p>
        </w:tc>
        <w:tc>
          <w:tcPr>
            <w:tcW w:w="1322" w:type="dxa"/>
            <w:tcBorders>
              <w:top w:val="nil"/>
              <w:left w:val="nil"/>
              <w:bottom w:val="nil"/>
              <w:right w:val="nil"/>
            </w:tcBorders>
          </w:tcPr>
          <w:p w14:paraId="340EC54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0.227</w:t>
            </w:r>
            <w:r w:rsidRPr="000849BC">
              <w:rPr>
                <w:rFonts w:eastAsiaTheme="minorEastAsia" w:cs="Times New Roman"/>
                <w:sz w:val="20"/>
                <w:szCs w:val="20"/>
                <w:lang w:val="en-US" w:eastAsia="ru-RU"/>
              </w:rPr>
              <w:br/>
              <w:t>(0.220)</w:t>
            </w:r>
          </w:p>
        </w:tc>
        <w:tc>
          <w:tcPr>
            <w:tcW w:w="1322" w:type="dxa"/>
            <w:tcBorders>
              <w:top w:val="nil"/>
              <w:left w:val="nil"/>
              <w:bottom w:val="nil"/>
              <w:right w:val="nil"/>
            </w:tcBorders>
          </w:tcPr>
          <w:p w14:paraId="35B4237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0.650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(0.200)</w:t>
            </w:r>
          </w:p>
        </w:tc>
      </w:tr>
      <w:tr w:rsidR="000849BC" w:rsidRPr="000849BC" w14:paraId="7C0639C1" w14:textId="77777777" w:rsidTr="00D17B7B">
        <w:tc>
          <w:tcPr>
            <w:tcW w:w="1688" w:type="dxa"/>
            <w:tcBorders>
              <w:top w:val="nil"/>
              <w:left w:val="nil"/>
              <w:bottom w:val="nil"/>
              <w:right w:val="nil"/>
            </w:tcBorders>
          </w:tcPr>
          <w:p w14:paraId="70690611"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4th quintile</w:t>
            </w:r>
          </w:p>
        </w:tc>
        <w:tc>
          <w:tcPr>
            <w:tcW w:w="1322" w:type="dxa"/>
            <w:tcBorders>
              <w:top w:val="nil"/>
              <w:left w:val="nil"/>
              <w:bottom w:val="nil"/>
              <w:right w:val="nil"/>
            </w:tcBorders>
          </w:tcPr>
          <w:p w14:paraId="081AB1F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0.756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(0.234)</w:t>
            </w:r>
          </w:p>
        </w:tc>
        <w:tc>
          <w:tcPr>
            <w:tcW w:w="1322" w:type="dxa"/>
            <w:tcBorders>
              <w:top w:val="nil"/>
              <w:left w:val="nil"/>
              <w:bottom w:val="nil"/>
              <w:right w:val="nil"/>
            </w:tcBorders>
          </w:tcPr>
          <w:p w14:paraId="032AFB7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0.215</w:t>
            </w:r>
            <w:r w:rsidRPr="000849BC">
              <w:rPr>
                <w:rFonts w:eastAsiaTheme="minorEastAsia" w:cs="Times New Roman"/>
                <w:sz w:val="20"/>
                <w:szCs w:val="20"/>
                <w:lang w:val="en-US" w:eastAsia="ru-RU"/>
              </w:rPr>
              <w:br/>
              <w:t>(0.235)</w:t>
            </w:r>
          </w:p>
        </w:tc>
        <w:tc>
          <w:tcPr>
            <w:tcW w:w="1322" w:type="dxa"/>
            <w:tcBorders>
              <w:top w:val="nil"/>
              <w:left w:val="nil"/>
              <w:bottom w:val="nil"/>
              <w:right w:val="nil"/>
            </w:tcBorders>
          </w:tcPr>
          <w:p w14:paraId="22FE0C2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0.940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(0.239)</w:t>
            </w:r>
          </w:p>
        </w:tc>
        <w:tc>
          <w:tcPr>
            <w:tcW w:w="1322" w:type="dxa"/>
            <w:tcBorders>
              <w:top w:val="nil"/>
              <w:left w:val="nil"/>
              <w:bottom w:val="nil"/>
              <w:right w:val="nil"/>
            </w:tcBorders>
          </w:tcPr>
          <w:p w14:paraId="0724FAA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0.506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(0.254)</w:t>
            </w:r>
          </w:p>
        </w:tc>
        <w:tc>
          <w:tcPr>
            <w:tcW w:w="1322" w:type="dxa"/>
            <w:tcBorders>
              <w:top w:val="nil"/>
              <w:left w:val="nil"/>
              <w:bottom w:val="nil"/>
              <w:right w:val="nil"/>
            </w:tcBorders>
          </w:tcPr>
          <w:p w14:paraId="30B1ACC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0.949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(0.236)</w:t>
            </w:r>
          </w:p>
        </w:tc>
        <w:tc>
          <w:tcPr>
            <w:tcW w:w="1322" w:type="dxa"/>
            <w:tcBorders>
              <w:top w:val="nil"/>
              <w:left w:val="nil"/>
              <w:bottom w:val="nil"/>
              <w:right w:val="nil"/>
            </w:tcBorders>
          </w:tcPr>
          <w:p w14:paraId="2B3DC6F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0.581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(0.241)</w:t>
            </w:r>
          </w:p>
        </w:tc>
      </w:tr>
      <w:tr w:rsidR="000849BC" w:rsidRPr="000849BC" w14:paraId="6BAB28AB" w14:textId="77777777" w:rsidTr="00D17B7B">
        <w:tc>
          <w:tcPr>
            <w:tcW w:w="1688" w:type="dxa"/>
            <w:tcBorders>
              <w:top w:val="nil"/>
              <w:left w:val="nil"/>
              <w:bottom w:val="nil"/>
              <w:right w:val="nil"/>
            </w:tcBorders>
          </w:tcPr>
          <w:p w14:paraId="15E2AD6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lastRenderedPageBreak/>
              <w:t>... 5th quintile</w:t>
            </w:r>
          </w:p>
        </w:tc>
        <w:tc>
          <w:tcPr>
            <w:tcW w:w="1322" w:type="dxa"/>
            <w:tcBorders>
              <w:top w:val="nil"/>
              <w:left w:val="nil"/>
              <w:bottom w:val="nil"/>
              <w:right w:val="nil"/>
            </w:tcBorders>
          </w:tcPr>
          <w:p w14:paraId="34223D4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0.646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(0.275)</w:t>
            </w:r>
          </w:p>
        </w:tc>
        <w:tc>
          <w:tcPr>
            <w:tcW w:w="1322" w:type="dxa"/>
            <w:tcBorders>
              <w:top w:val="nil"/>
              <w:left w:val="nil"/>
              <w:bottom w:val="nil"/>
              <w:right w:val="nil"/>
            </w:tcBorders>
          </w:tcPr>
          <w:p w14:paraId="20959AD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0.497</w:t>
            </w:r>
            <w:r w:rsidRPr="000849BC">
              <w:rPr>
                <w:rFonts w:eastAsiaTheme="minorEastAsia" w:cs="Times New Roman"/>
                <w:sz w:val="20"/>
                <w:szCs w:val="20"/>
                <w:lang w:val="en-US" w:eastAsia="ru-RU"/>
              </w:rPr>
              <w:br/>
              <w:t>(0.261)</w:t>
            </w:r>
          </w:p>
        </w:tc>
        <w:tc>
          <w:tcPr>
            <w:tcW w:w="1322" w:type="dxa"/>
            <w:tcBorders>
              <w:top w:val="nil"/>
              <w:left w:val="nil"/>
              <w:bottom w:val="nil"/>
              <w:right w:val="nil"/>
            </w:tcBorders>
          </w:tcPr>
          <w:p w14:paraId="26631AD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1.067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(0.328)</w:t>
            </w:r>
          </w:p>
        </w:tc>
        <w:tc>
          <w:tcPr>
            <w:tcW w:w="1322" w:type="dxa"/>
            <w:tcBorders>
              <w:top w:val="nil"/>
              <w:left w:val="nil"/>
              <w:bottom w:val="nil"/>
              <w:right w:val="nil"/>
            </w:tcBorders>
          </w:tcPr>
          <w:p w14:paraId="43090B3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0.702</w:t>
            </w:r>
            <w:r w:rsidRPr="000849BC">
              <w:rPr>
                <w:rFonts w:eastAsiaTheme="minorEastAsia" w:cs="Times New Roman"/>
                <w:sz w:val="20"/>
                <w:szCs w:val="20"/>
                <w:lang w:val="en-US" w:eastAsia="ru-RU"/>
              </w:rPr>
              <w:br/>
              <w:t>(0.372)</w:t>
            </w:r>
          </w:p>
        </w:tc>
        <w:tc>
          <w:tcPr>
            <w:tcW w:w="1322" w:type="dxa"/>
            <w:tcBorders>
              <w:top w:val="nil"/>
              <w:left w:val="nil"/>
              <w:bottom w:val="nil"/>
              <w:right w:val="nil"/>
            </w:tcBorders>
          </w:tcPr>
          <w:p w14:paraId="4D00DCE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0.606</w:t>
            </w:r>
            <w:r w:rsidRPr="000849BC">
              <w:rPr>
                <w:rFonts w:eastAsiaTheme="minorEastAsia" w:cs="Times New Roman"/>
                <w:sz w:val="20"/>
                <w:szCs w:val="20"/>
                <w:lang w:val="en-US" w:eastAsia="ru-RU"/>
              </w:rPr>
              <w:br/>
              <w:t>(0.317)</w:t>
            </w:r>
          </w:p>
        </w:tc>
        <w:tc>
          <w:tcPr>
            <w:tcW w:w="1322" w:type="dxa"/>
            <w:tcBorders>
              <w:top w:val="nil"/>
              <w:left w:val="nil"/>
              <w:bottom w:val="nil"/>
              <w:right w:val="nil"/>
            </w:tcBorders>
          </w:tcPr>
          <w:p w14:paraId="3528720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0.569</w:t>
            </w:r>
            <w:r w:rsidRPr="000849BC">
              <w:rPr>
                <w:rFonts w:eastAsiaTheme="minorEastAsia" w:cs="Times New Roman"/>
                <w:sz w:val="20"/>
                <w:szCs w:val="20"/>
                <w:lang w:val="en-US" w:eastAsia="ru-RU"/>
              </w:rPr>
              <w:br/>
              <w:t>(0.410)</w:t>
            </w:r>
          </w:p>
        </w:tc>
      </w:tr>
      <w:tr w:rsidR="000849BC" w:rsidRPr="000849BC" w14:paraId="105C2128" w14:textId="77777777" w:rsidTr="00D17B7B">
        <w:tc>
          <w:tcPr>
            <w:tcW w:w="1688" w:type="dxa"/>
            <w:tcBorders>
              <w:top w:val="nil"/>
              <w:left w:val="nil"/>
              <w:bottom w:val="nil"/>
              <w:right w:val="nil"/>
            </w:tcBorders>
          </w:tcPr>
          <w:p w14:paraId="204415D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2nd quintile</w:t>
            </w:r>
          </w:p>
        </w:tc>
        <w:tc>
          <w:tcPr>
            <w:tcW w:w="1322" w:type="dxa"/>
            <w:tcBorders>
              <w:top w:val="nil"/>
              <w:left w:val="nil"/>
              <w:bottom w:val="nil"/>
              <w:right w:val="nil"/>
            </w:tcBorders>
          </w:tcPr>
          <w:p w14:paraId="6F05C9C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0.016</w:t>
            </w:r>
            <w:r w:rsidRPr="000849BC">
              <w:rPr>
                <w:rFonts w:eastAsiaTheme="minorEastAsia" w:cs="Times New Roman"/>
                <w:sz w:val="20"/>
                <w:szCs w:val="20"/>
                <w:lang w:val="en-US" w:eastAsia="ru-RU"/>
              </w:rPr>
              <w:br/>
              <w:t>(0.361)</w:t>
            </w:r>
          </w:p>
        </w:tc>
        <w:tc>
          <w:tcPr>
            <w:tcW w:w="1322" w:type="dxa"/>
            <w:tcBorders>
              <w:top w:val="nil"/>
              <w:left w:val="nil"/>
              <w:bottom w:val="nil"/>
              <w:right w:val="nil"/>
            </w:tcBorders>
          </w:tcPr>
          <w:p w14:paraId="4C1A520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0.053</w:t>
            </w:r>
            <w:r w:rsidRPr="000849BC">
              <w:rPr>
                <w:rFonts w:eastAsiaTheme="minorEastAsia" w:cs="Times New Roman"/>
                <w:sz w:val="20"/>
                <w:szCs w:val="20"/>
                <w:lang w:val="en-US" w:eastAsia="ru-RU"/>
              </w:rPr>
              <w:br/>
              <w:t>(0.371)</w:t>
            </w:r>
          </w:p>
        </w:tc>
        <w:tc>
          <w:tcPr>
            <w:tcW w:w="1322" w:type="dxa"/>
            <w:tcBorders>
              <w:top w:val="nil"/>
              <w:left w:val="nil"/>
              <w:bottom w:val="nil"/>
              <w:right w:val="nil"/>
            </w:tcBorders>
          </w:tcPr>
          <w:p w14:paraId="28CA7B2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0.361</w:t>
            </w:r>
            <w:r w:rsidRPr="000849BC">
              <w:rPr>
                <w:rFonts w:eastAsiaTheme="minorEastAsia" w:cs="Times New Roman"/>
                <w:sz w:val="20"/>
                <w:szCs w:val="20"/>
                <w:lang w:val="en-US" w:eastAsia="ru-RU"/>
              </w:rPr>
              <w:br/>
              <w:t>(0.378)</w:t>
            </w:r>
          </w:p>
        </w:tc>
        <w:tc>
          <w:tcPr>
            <w:tcW w:w="1322" w:type="dxa"/>
            <w:tcBorders>
              <w:top w:val="nil"/>
              <w:left w:val="nil"/>
              <w:bottom w:val="nil"/>
              <w:right w:val="nil"/>
            </w:tcBorders>
          </w:tcPr>
          <w:p w14:paraId="7AE2D35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0.315</w:t>
            </w:r>
            <w:r w:rsidRPr="000849BC">
              <w:rPr>
                <w:rFonts w:eastAsiaTheme="minorEastAsia" w:cs="Times New Roman"/>
                <w:sz w:val="20"/>
                <w:szCs w:val="20"/>
                <w:lang w:val="en-US" w:eastAsia="ru-RU"/>
              </w:rPr>
              <w:br/>
              <w:t>(0.365)</w:t>
            </w:r>
          </w:p>
        </w:tc>
        <w:tc>
          <w:tcPr>
            <w:tcW w:w="1322" w:type="dxa"/>
            <w:tcBorders>
              <w:top w:val="nil"/>
              <w:left w:val="nil"/>
              <w:bottom w:val="nil"/>
              <w:right w:val="nil"/>
            </w:tcBorders>
          </w:tcPr>
          <w:p w14:paraId="6AD1AFF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0.281</w:t>
            </w:r>
            <w:r w:rsidRPr="000849BC">
              <w:rPr>
                <w:rFonts w:eastAsiaTheme="minorEastAsia" w:cs="Times New Roman"/>
                <w:sz w:val="20"/>
                <w:szCs w:val="20"/>
                <w:lang w:val="en-US" w:eastAsia="ru-RU"/>
              </w:rPr>
              <w:br/>
              <w:t>(0.393)</w:t>
            </w:r>
          </w:p>
        </w:tc>
        <w:tc>
          <w:tcPr>
            <w:tcW w:w="1322" w:type="dxa"/>
            <w:tcBorders>
              <w:top w:val="nil"/>
              <w:left w:val="nil"/>
              <w:bottom w:val="nil"/>
              <w:right w:val="nil"/>
            </w:tcBorders>
          </w:tcPr>
          <w:p w14:paraId="0958024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0.231</w:t>
            </w:r>
            <w:r w:rsidRPr="000849BC">
              <w:rPr>
                <w:rFonts w:eastAsiaTheme="minorEastAsia" w:cs="Times New Roman"/>
                <w:sz w:val="20"/>
                <w:szCs w:val="20"/>
                <w:lang w:val="en-US" w:eastAsia="ru-RU"/>
              </w:rPr>
              <w:br/>
              <w:t>(0.383)</w:t>
            </w:r>
          </w:p>
        </w:tc>
      </w:tr>
      <w:tr w:rsidR="000849BC" w:rsidRPr="000849BC" w14:paraId="6F6F25F5" w14:textId="77777777" w:rsidTr="00D17B7B">
        <w:tc>
          <w:tcPr>
            <w:tcW w:w="1688" w:type="dxa"/>
            <w:tcBorders>
              <w:top w:val="nil"/>
              <w:left w:val="nil"/>
              <w:bottom w:val="nil"/>
              <w:right w:val="nil"/>
            </w:tcBorders>
          </w:tcPr>
          <w:p w14:paraId="3970BA5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3rd quintile</w:t>
            </w:r>
          </w:p>
        </w:tc>
        <w:tc>
          <w:tcPr>
            <w:tcW w:w="1322" w:type="dxa"/>
            <w:tcBorders>
              <w:top w:val="nil"/>
              <w:left w:val="nil"/>
              <w:bottom w:val="nil"/>
              <w:right w:val="nil"/>
            </w:tcBorders>
          </w:tcPr>
          <w:p w14:paraId="34A8BDD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0.186</w:t>
            </w:r>
            <w:r w:rsidRPr="000849BC">
              <w:rPr>
                <w:rFonts w:eastAsiaTheme="minorEastAsia" w:cs="Times New Roman"/>
                <w:sz w:val="20"/>
                <w:szCs w:val="20"/>
                <w:lang w:val="en-US" w:eastAsia="ru-RU"/>
              </w:rPr>
              <w:br/>
              <w:t>(0.373)</w:t>
            </w:r>
          </w:p>
        </w:tc>
        <w:tc>
          <w:tcPr>
            <w:tcW w:w="1322" w:type="dxa"/>
            <w:tcBorders>
              <w:top w:val="nil"/>
              <w:left w:val="nil"/>
              <w:bottom w:val="nil"/>
              <w:right w:val="nil"/>
            </w:tcBorders>
          </w:tcPr>
          <w:p w14:paraId="4888E4E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0.296</w:t>
            </w:r>
            <w:r w:rsidRPr="000849BC">
              <w:rPr>
                <w:rFonts w:eastAsiaTheme="minorEastAsia" w:cs="Times New Roman"/>
                <w:sz w:val="20"/>
                <w:szCs w:val="20"/>
                <w:lang w:val="en-US" w:eastAsia="ru-RU"/>
              </w:rPr>
              <w:br/>
              <w:t>(0.375)</w:t>
            </w:r>
          </w:p>
        </w:tc>
        <w:tc>
          <w:tcPr>
            <w:tcW w:w="1322" w:type="dxa"/>
            <w:tcBorders>
              <w:top w:val="nil"/>
              <w:left w:val="nil"/>
              <w:bottom w:val="nil"/>
              <w:right w:val="nil"/>
            </w:tcBorders>
          </w:tcPr>
          <w:p w14:paraId="46C3854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0.011</w:t>
            </w:r>
            <w:r w:rsidRPr="000849BC">
              <w:rPr>
                <w:rFonts w:eastAsiaTheme="minorEastAsia" w:cs="Times New Roman"/>
                <w:sz w:val="20"/>
                <w:szCs w:val="20"/>
                <w:lang w:val="en-US" w:eastAsia="ru-RU"/>
              </w:rPr>
              <w:br/>
              <w:t>(0.392)</w:t>
            </w:r>
          </w:p>
        </w:tc>
        <w:tc>
          <w:tcPr>
            <w:tcW w:w="1322" w:type="dxa"/>
            <w:tcBorders>
              <w:top w:val="nil"/>
              <w:left w:val="nil"/>
              <w:bottom w:val="nil"/>
              <w:right w:val="nil"/>
            </w:tcBorders>
          </w:tcPr>
          <w:p w14:paraId="55DC060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–0.304</w:t>
            </w:r>
            <w:r w:rsidRPr="000849BC">
              <w:rPr>
                <w:rFonts w:eastAsiaTheme="minorEastAsia" w:cs="Times New Roman"/>
                <w:sz w:val="20"/>
                <w:szCs w:val="20"/>
                <w:lang w:val="en-US" w:eastAsia="ru-RU"/>
              </w:rPr>
              <w:br/>
              <w:t>(0.383)</w:t>
            </w:r>
          </w:p>
        </w:tc>
        <w:tc>
          <w:tcPr>
            <w:tcW w:w="1322" w:type="dxa"/>
            <w:tcBorders>
              <w:top w:val="nil"/>
              <w:left w:val="nil"/>
              <w:bottom w:val="nil"/>
              <w:right w:val="nil"/>
            </w:tcBorders>
          </w:tcPr>
          <w:p w14:paraId="74E0E8B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0.906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(0.398)</w:t>
            </w:r>
          </w:p>
        </w:tc>
        <w:tc>
          <w:tcPr>
            <w:tcW w:w="1322" w:type="dxa"/>
            <w:tcBorders>
              <w:top w:val="nil"/>
              <w:left w:val="nil"/>
              <w:bottom w:val="nil"/>
              <w:right w:val="nil"/>
            </w:tcBorders>
          </w:tcPr>
          <w:p w14:paraId="734D16C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0.380</w:t>
            </w:r>
            <w:r w:rsidRPr="000849BC">
              <w:rPr>
                <w:rFonts w:eastAsiaTheme="minorEastAsia" w:cs="Times New Roman"/>
                <w:sz w:val="20"/>
                <w:szCs w:val="20"/>
                <w:lang w:val="en-US" w:eastAsia="ru-RU"/>
              </w:rPr>
              <w:br/>
              <w:t>(0.377)</w:t>
            </w:r>
          </w:p>
        </w:tc>
      </w:tr>
      <w:tr w:rsidR="000849BC" w:rsidRPr="000849BC" w14:paraId="5D445C9D" w14:textId="77777777" w:rsidTr="00D17B7B">
        <w:tc>
          <w:tcPr>
            <w:tcW w:w="1688" w:type="dxa"/>
            <w:tcBorders>
              <w:top w:val="nil"/>
              <w:left w:val="nil"/>
              <w:bottom w:val="nil"/>
              <w:right w:val="nil"/>
            </w:tcBorders>
          </w:tcPr>
          <w:p w14:paraId="1610103B"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4th quintile</w:t>
            </w:r>
          </w:p>
        </w:tc>
        <w:tc>
          <w:tcPr>
            <w:tcW w:w="1322" w:type="dxa"/>
            <w:tcBorders>
              <w:top w:val="nil"/>
              <w:left w:val="nil"/>
              <w:bottom w:val="nil"/>
              <w:right w:val="nil"/>
            </w:tcBorders>
          </w:tcPr>
          <w:p w14:paraId="014B746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–0.038</w:t>
            </w:r>
            <w:r w:rsidRPr="000849BC">
              <w:rPr>
                <w:rFonts w:eastAsiaTheme="minorEastAsia" w:cs="Times New Roman"/>
                <w:sz w:val="20"/>
                <w:szCs w:val="20"/>
                <w:lang w:val="en-US" w:eastAsia="ru-RU"/>
              </w:rPr>
              <w:br/>
              <w:t>(0.422)</w:t>
            </w:r>
          </w:p>
        </w:tc>
        <w:tc>
          <w:tcPr>
            <w:tcW w:w="1322" w:type="dxa"/>
            <w:tcBorders>
              <w:top w:val="nil"/>
              <w:left w:val="nil"/>
              <w:bottom w:val="nil"/>
              <w:right w:val="nil"/>
            </w:tcBorders>
          </w:tcPr>
          <w:p w14:paraId="46BCC25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0.616</w:t>
            </w:r>
            <w:r w:rsidRPr="000849BC">
              <w:rPr>
                <w:rFonts w:eastAsiaTheme="minorEastAsia" w:cs="Times New Roman"/>
                <w:sz w:val="20"/>
                <w:szCs w:val="20"/>
                <w:lang w:val="en-US" w:eastAsia="ru-RU"/>
              </w:rPr>
              <w:br/>
              <w:t>(0.419)</w:t>
            </w:r>
          </w:p>
        </w:tc>
        <w:tc>
          <w:tcPr>
            <w:tcW w:w="1322" w:type="dxa"/>
            <w:tcBorders>
              <w:top w:val="nil"/>
              <w:left w:val="nil"/>
              <w:bottom w:val="nil"/>
              <w:right w:val="nil"/>
            </w:tcBorders>
          </w:tcPr>
          <w:p w14:paraId="527895A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0.216</w:t>
            </w:r>
            <w:r w:rsidRPr="000849BC">
              <w:rPr>
                <w:rFonts w:eastAsiaTheme="minorEastAsia" w:cs="Times New Roman"/>
                <w:sz w:val="20"/>
                <w:szCs w:val="20"/>
                <w:lang w:val="en-US" w:eastAsia="ru-RU"/>
              </w:rPr>
              <w:br/>
              <w:t>(0.450)</w:t>
            </w:r>
          </w:p>
        </w:tc>
        <w:tc>
          <w:tcPr>
            <w:tcW w:w="1322" w:type="dxa"/>
            <w:tcBorders>
              <w:top w:val="nil"/>
              <w:left w:val="nil"/>
              <w:bottom w:val="nil"/>
              <w:right w:val="nil"/>
            </w:tcBorders>
          </w:tcPr>
          <w:p w14:paraId="77119A8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0.215</w:t>
            </w:r>
            <w:r w:rsidRPr="000849BC">
              <w:rPr>
                <w:rFonts w:eastAsiaTheme="minorEastAsia" w:cs="Times New Roman"/>
                <w:sz w:val="20"/>
                <w:szCs w:val="20"/>
                <w:lang w:val="en-US" w:eastAsia="ru-RU"/>
              </w:rPr>
              <w:br/>
              <w:t>(0.423)</w:t>
            </w:r>
          </w:p>
        </w:tc>
        <w:tc>
          <w:tcPr>
            <w:tcW w:w="1322" w:type="dxa"/>
            <w:tcBorders>
              <w:top w:val="nil"/>
              <w:left w:val="nil"/>
              <w:bottom w:val="nil"/>
              <w:right w:val="nil"/>
            </w:tcBorders>
          </w:tcPr>
          <w:p w14:paraId="79631B9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–0.089</w:t>
            </w:r>
            <w:r w:rsidRPr="000849BC">
              <w:rPr>
                <w:rFonts w:eastAsiaTheme="minorEastAsia" w:cs="Times New Roman"/>
                <w:sz w:val="20"/>
                <w:szCs w:val="20"/>
                <w:lang w:val="en-US" w:eastAsia="ru-RU"/>
              </w:rPr>
              <w:br/>
              <w:t>(0.417)</w:t>
            </w:r>
          </w:p>
        </w:tc>
        <w:tc>
          <w:tcPr>
            <w:tcW w:w="1322" w:type="dxa"/>
            <w:tcBorders>
              <w:top w:val="nil"/>
              <w:left w:val="nil"/>
              <w:bottom w:val="nil"/>
              <w:right w:val="nil"/>
            </w:tcBorders>
          </w:tcPr>
          <w:p w14:paraId="6A26602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0.347</w:t>
            </w:r>
            <w:r w:rsidRPr="000849BC">
              <w:rPr>
                <w:rFonts w:eastAsiaTheme="minorEastAsia" w:cs="Times New Roman"/>
                <w:sz w:val="20"/>
                <w:szCs w:val="20"/>
                <w:lang w:val="en-US" w:eastAsia="ru-RU"/>
              </w:rPr>
              <w:br/>
              <w:t>(0.428)</w:t>
            </w:r>
          </w:p>
        </w:tc>
      </w:tr>
      <w:tr w:rsidR="000849BC" w:rsidRPr="000849BC" w14:paraId="6EA88502" w14:textId="77777777" w:rsidTr="00D17B7B">
        <w:tc>
          <w:tcPr>
            <w:tcW w:w="1688" w:type="dxa"/>
            <w:tcBorders>
              <w:top w:val="nil"/>
              <w:left w:val="nil"/>
              <w:bottom w:val="nil"/>
              <w:right w:val="nil"/>
            </w:tcBorders>
          </w:tcPr>
          <w:p w14:paraId="22A1CAB4"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5th quintile</w:t>
            </w:r>
          </w:p>
        </w:tc>
        <w:tc>
          <w:tcPr>
            <w:tcW w:w="1322" w:type="dxa"/>
            <w:tcBorders>
              <w:top w:val="nil"/>
              <w:left w:val="nil"/>
              <w:bottom w:val="nil"/>
              <w:right w:val="nil"/>
            </w:tcBorders>
          </w:tcPr>
          <w:p w14:paraId="33EA22C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0.674</w:t>
            </w:r>
            <w:r w:rsidRPr="000849BC">
              <w:rPr>
                <w:rFonts w:eastAsiaTheme="minorEastAsia" w:cs="Times New Roman"/>
                <w:sz w:val="20"/>
                <w:szCs w:val="20"/>
                <w:lang w:val="en-US" w:eastAsia="ru-RU"/>
              </w:rPr>
              <w:br/>
              <w:t>(0.452)</w:t>
            </w:r>
          </w:p>
        </w:tc>
        <w:tc>
          <w:tcPr>
            <w:tcW w:w="1322" w:type="dxa"/>
            <w:tcBorders>
              <w:top w:val="nil"/>
              <w:left w:val="nil"/>
              <w:bottom w:val="nil"/>
              <w:right w:val="nil"/>
            </w:tcBorders>
          </w:tcPr>
          <w:p w14:paraId="3845C9E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0.675</w:t>
            </w:r>
            <w:r w:rsidRPr="000849BC">
              <w:rPr>
                <w:rFonts w:eastAsiaTheme="minorEastAsia" w:cs="Times New Roman"/>
                <w:sz w:val="20"/>
                <w:szCs w:val="20"/>
                <w:lang w:val="en-US" w:eastAsia="ru-RU"/>
              </w:rPr>
              <w:br/>
              <w:t>(0.438)</w:t>
            </w:r>
          </w:p>
        </w:tc>
        <w:tc>
          <w:tcPr>
            <w:tcW w:w="1322" w:type="dxa"/>
            <w:tcBorders>
              <w:top w:val="nil"/>
              <w:left w:val="nil"/>
              <w:bottom w:val="nil"/>
              <w:right w:val="nil"/>
            </w:tcBorders>
          </w:tcPr>
          <w:p w14:paraId="6860261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0.626</w:t>
            </w:r>
            <w:r w:rsidRPr="000849BC">
              <w:rPr>
                <w:rFonts w:eastAsiaTheme="minorEastAsia" w:cs="Times New Roman"/>
                <w:sz w:val="20"/>
                <w:szCs w:val="20"/>
                <w:lang w:val="en-US" w:eastAsia="ru-RU"/>
              </w:rPr>
              <w:br/>
              <w:t>(0.497)</w:t>
            </w:r>
          </w:p>
        </w:tc>
        <w:tc>
          <w:tcPr>
            <w:tcW w:w="1322" w:type="dxa"/>
            <w:tcBorders>
              <w:top w:val="nil"/>
              <w:left w:val="nil"/>
              <w:bottom w:val="nil"/>
              <w:right w:val="nil"/>
            </w:tcBorders>
          </w:tcPr>
          <w:p w14:paraId="4BA24BD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1.181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(0.585)</w:t>
            </w:r>
          </w:p>
        </w:tc>
        <w:tc>
          <w:tcPr>
            <w:tcW w:w="1322" w:type="dxa"/>
            <w:tcBorders>
              <w:top w:val="nil"/>
              <w:left w:val="nil"/>
              <w:bottom w:val="nil"/>
              <w:right w:val="nil"/>
            </w:tcBorders>
          </w:tcPr>
          <w:p w14:paraId="2C458C1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0.947</w:t>
            </w:r>
            <w:r w:rsidRPr="000849BC">
              <w:rPr>
                <w:rFonts w:eastAsiaTheme="minorEastAsia" w:cs="Times New Roman"/>
                <w:sz w:val="20"/>
                <w:szCs w:val="20"/>
                <w:lang w:val="en-US" w:eastAsia="ru-RU"/>
              </w:rPr>
              <w:br/>
              <w:t>(0.515)</w:t>
            </w:r>
          </w:p>
        </w:tc>
        <w:tc>
          <w:tcPr>
            <w:tcW w:w="1322" w:type="dxa"/>
            <w:tcBorders>
              <w:top w:val="nil"/>
              <w:left w:val="nil"/>
              <w:bottom w:val="nil"/>
              <w:right w:val="nil"/>
            </w:tcBorders>
          </w:tcPr>
          <w:p w14:paraId="031C45A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1.204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(0.590)</w:t>
            </w:r>
          </w:p>
        </w:tc>
      </w:tr>
      <w:tr w:rsidR="000849BC" w:rsidRPr="000849BC" w14:paraId="1AE88B65" w14:textId="77777777" w:rsidTr="00D17B7B">
        <w:tc>
          <w:tcPr>
            <w:tcW w:w="1688" w:type="dxa"/>
            <w:tcBorders>
              <w:top w:val="nil"/>
              <w:left w:val="nil"/>
              <w:bottom w:val="nil"/>
              <w:right w:val="nil"/>
            </w:tcBorders>
          </w:tcPr>
          <w:p w14:paraId="5203952A"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1322" w:type="dxa"/>
            <w:tcBorders>
              <w:top w:val="nil"/>
              <w:left w:val="nil"/>
              <w:bottom w:val="nil"/>
              <w:right w:val="nil"/>
            </w:tcBorders>
          </w:tcPr>
          <w:p w14:paraId="6E7E4B3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–1.180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(0.143)</w:t>
            </w:r>
          </w:p>
        </w:tc>
        <w:tc>
          <w:tcPr>
            <w:tcW w:w="1322" w:type="dxa"/>
            <w:tcBorders>
              <w:top w:val="nil"/>
              <w:left w:val="nil"/>
              <w:bottom w:val="nil"/>
              <w:right w:val="nil"/>
            </w:tcBorders>
          </w:tcPr>
          <w:p w14:paraId="7E1775F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–1.054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(0.142)</w:t>
            </w:r>
          </w:p>
        </w:tc>
        <w:tc>
          <w:tcPr>
            <w:tcW w:w="1322" w:type="dxa"/>
            <w:tcBorders>
              <w:top w:val="nil"/>
              <w:left w:val="nil"/>
              <w:bottom w:val="nil"/>
              <w:right w:val="nil"/>
            </w:tcBorders>
          </w:tcPr>
          <w:p w14:paraId="65152C1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–1.209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(0.151)</w:t>
            </w:r>
          </w:p>
        </w:tc>
        <w:tc>
          <w:tcPr>
            <w:tcW w:w="1322" w:type="dxa"/>
            <w:tcBorders>
              <w:top w:val="nil"/>
              <w:left w:val="nil"/>
              <w:bottom w:val="nil"/>
              <w:right w:val="nil"/>
            </w:tcBorders>
          </w:tcPr>
          <w:p w14:paraId="78486FF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–1.075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(0.144)</w:t>
            </w:r>
          </w:p>
        </w:tc>
        <w:tc>
          <w:tcPr>
            <w:tcW w:w="1322" w:type="dxa"/>
            <w:tcBorders>
              <w:top w:val="nil"/>
              <w:left w:val="nil"/>
              <w:bottom w:val="nil"/>
              <w:right w:val="nil"/>
            </w:tcBorders>
          </w:tcPr>
          <w:p w14:paraId="0DFBAD1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–1.116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(0.151)</w:t>
            </w:r>
          </w:p>
        </w:tc>
        <w:tc>
          <w:tcPr>
            <w:tcW w:w="1322" w:type="dxa"/>
            <w:tcBorders>
              <w:top w:val="nil"/>
              <w:left w:val="nil"/>
              <w:bottom w:val="nil"/>
              <w:right w:val="nil"/>
            </w:tcBorders>
          </w:tcPr>
          <w:p w14:paraId="0B2B65A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–1.131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(0.144)</w:t>
            </w:r>
          </w:p>
        </w:tc>
      </w:tr>
      <w:tr w:rsidR="000849BC" w:rsidRPr="00256D32" w14:paraId="1D5E3F4F" w14:textId="77777777" w:rsidTr="00D17B7B">
        <w:tc>
          <w:tcPr>
            <w:tcW w:w="9620" w:type="dxa"/>
            <w:gridSpan w:val="7"/>
            <w:tcBorders>
              <w:top w:val="single" w:sz="4" w:space="0" w:color="auto"/>
              <w:left w:val="nil"/>
              <w:bottom w:val="nil"/>
              <w:right w:val="nil"/>
            </w:tcBorders>
          </w:tcPr>
          <w:p w14:paraId="66386A9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Case missing in NP Wave 5</w:t>
            </w:r>
          </w:p>
        </w:tc>
      </w:tr>
      <w:tr w:rsidR="000849BC" w:rsidRPr="000849BC" w14:paraId="35D8E2B7" w14:textId="77777777" w:rsidTr="00D17B7B">
        <w:tc>
          <w:tcPr>
            <w:tcW w:w="1688" w:type="dxa"/>
            <w:tcBorders>
              <w:top w:val="nil"/>
              <w:left w:val="nil"/>
              <w:bottom w:val="nil"/>
              <w:right w:val="nil"/>
            </w:tcBorders>
          </w:tcPr>
          <w:p w14:paraId="43AF775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1322" w:type="dxa"/>
            <w:tcBorders>
              <w:top w:val="nil"/>
              <w:left w:val="nil"/>
              <w:bottom w:val="nil"/>
              <w:right w:val="nil"/>
            </w:tcBorders>
          </w:tcPr>
          <w:p w14:paraId="3D83176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0.550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(0.193)</w:t>
            </w:r>
          </w:p>
        </w:tc>
        <w:tc>
          <w:tcPr>
            <w:tcW w:w="1322" w:type="dxa"/>
            <w:tcBorders>
              <w:top w:val="nil"/>
              <w:left w:val="nil"/>
              <w:bottom w:val="nil"/>
              <w:right w:val="nil"/>
            </w:tcBorders>
          </w:tcPr>
          <w:p w14:paraId="6926BF5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0.418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(0.204)</w:t>
            </w:r>
          </w:p>
        </w:tc>
        <w:tc>
          <w:tcPr>
            <w:tcW w:w="1322" w:type="dxa"/>
            <w:tcBorders>
              <w:top w:val="nil"/>
              <w:left w:val="nil"/>
              <w:bottom w:val="nil"/>
              <w:right w:val="nil"/>
            </w:tcBorders>
          </w:tcPr>
          <w:p w14:paraId="0E87210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0.446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(0.205)</w:t>
            </w:r>
          </w:p>
        </w:tc>
        <w:tc>
          <w:tcPr>
            <w:tcW w:w="1322" w:type="dxa"/>
            <w:tcBorders>
              <w:top w:val="nil"/>
              <w:left w:val="nil"/>
              <w:bottom w:val="nil"/>
              <w:right w:val="nil"/>
            </w:tcBorders>
          </w:tcPr>
          <w:p w14:paraId="710BF59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0.337</w:t>
            </w:r>
            <w:r w:rsidRPr="000849BC">
              <w:rPr>
                <w:rFonts w:eastAsiaTheme="minorEastAsia" w:cs="Times New Roman"/>
                <w:sz w:val="20"/>
                <w:szCs w:val="20"/>
                <w:lang w:val="en-US" w:eastAsia="ru-RU"/>
              </w:rPr>
              <w:br/>
              <w:t>(0.196)</w:t>
            </w:r>
          </w:p>
        </w:tc>
        <w:tc>
          <w:tcPr>
            <w:tcW w:w="1322" w:type="dxa"/>
            <w:tcBorders>
              <w:top w:val="nil"/>
              <w:left w:val="nil"/>
              <w:bottom w:val="nil"/>
              <w:right w:val="nil"/>
            </w:tcBorders>
          </w:tcPr>
          <w:p w14:paraId="72DA9EF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0.482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(0.203)</w:t>
            </w:r>
          </w:p>
        </w:tc>
        <w:tc>
          <w:tcPr>
            <w:tcW w:w="1322" w:type="dxa"/>
            <w:tcBorders>
              <w:top w:val="nil"/>
              <w:left w:val="nil"/>
              <w:bottom w:val="nil"/>
              <w:right w:val="nil"/>
            </w:tcBorders>
          </w:tcPr>
          <w:p w14:paraId="481056A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0.446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(0.202)</w:t>
            </w:r>
          </w:p>
        </w:tc>
      </w:tr>
      <w:tr w:rsidR="000849BC" w:rsidRPr="000849BC" w14:paraId="683EA1B7" w14:textId="77777777" w:rsidTr="00D17B7B">
        <w:tc>
          <w:tcPr>
            <w:tcW w:w="1688" w:type="dxa"/>
            <w:tcBorders>
              <w:top w:val="nil"/>
              <w:left w:val="nil"/>
              <w:bottom w:val="nil"/>
              <w:right w:val="nil"/>
            </w:tcBorders>
          </w:tcPr>
          <w:p w14:paraId="5C7E5A19"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 – 2nd quintile</w:t>
            </w:r>
          </w:p>
        </w:tc>
        <w:tc>
          <w:tcPr>
            <w:tcW w:w="1322" w:type="dxa"/>
            <w:tcBorders>
              <w:top w:val="nil"/>
              <w:left w:val="nil"/>
              <w:bottom w:val="nil"/>
              <w:right w:val="nil"/>
            </w:tcBorders>
          </w:tcPr>
          <w:p w14:paraId="7653663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0.351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(0.154)</w:t>
            </w:r>
          </w:p>
        </w:tc>
        <w:tc>
          <w:tcPr>
            <w:tcW w:w="1322" w:type="dxa"/>
            <w:tcBorders>
              <w:top w:val="nil"/>
              <w:left w:val="nil"/>
              <w:bottom w:val="nil"/>
              <w:right w:val="nil"/>
            </w:tcBorders>
          </w:tcPr>
          <w:p w14:paraId="7884625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0.322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(0.154)</w:t>
            </w:r>
          </w:p>
        </w:tc>
        <w:tc>
          <w:tcPr>
            <w:tcW w:w="1322" w:type="dxa"/>
            <w:tcBorders>
              <w:top w:val="nil"/>
              <w:left w:val="nil"/>
              <w:bottom w:val="nil"/>
              <w:right w:val="nil"/>
            </w:tcBorders>
          </w:tcPr>
          <w:p w14:paraId="09BD2C6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0.152</w:t>
            </w:r>
            <w:r w:rsidRPr="000849BC">
              <w:rPr>
                <w:rFonts w:eastAsiaTheme="minorEastAsia" w:cs="Times New Roman"/>
                <w:sz w:val="20"/>
                <w:szCs w:val="20"/>
                <w:lang w:val="en-US" w:eastAsia="ru-RU"/>
              </w:rPr>
              <w:br/>
              <w:t>(0.161)</w:t>
            </w:r>
          </w:p>
        </w:tc>
        <w:tc>
          <w:tcPr>
            <w:tcW w:w="1322" w:type="dxa"/>
            <w:tcBorders>
              <w:top w:val="nil"/>
              <w:left w:val="nil"/>
              <w:bottom w:val="nil"/>
              <w:right w:val="nil"/>
            </w:tcBorders>
          </w:tcPr>
          <w:p w14:paraId="395C1C1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0.025</w:t>
            </w:r>
            <w:r w:rsidRPr="000849BC">
              <w:rPr>
                <w:rFonts w:eastAsiaTheme="minorEastAsia" w:cs="Times New Roman"/>
                <w:sz w:val="20"/>
                <w:szCs w:val="20"/>
                <w:lang w:val="en-US" w:eastAsia="ru-RU"/>
              </w:rPr>
              <w:br/>
              <w:t>(0.160)</w:t>
            </w:r>
          </w:p>
        </w:tc>
        <w:tc>
          <w:tcPr>
            <w:tcW w:w="1322" w:type="dxa"/>
            <w:tcBorders>
              <w:top w:val="nil"/>
              <w:left w:val="nil"/>
              <w:bottom w:val="nil"/>
              <w:right w:val="nil"/>
            </w:tcBorders>
          </w:tcPr>
          <w:p w14:paraId="1DAE878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–0.048</w:t>
            </w:r>
            <w:r w:rsidRPr="000849BC">
              <w:rPr>
                <w:rFonts w:eastAsiaTheme="minorEastAsia" w:cs="Times New Roman"/>
                <w:sz w:val="20"/>
                <w:szCs w:val="20"/>
                <w:lang w:val="en-US" w:eastAsia="ru-RU"/>
              </w:rPr>
              <w:br/>
              <w:t>(0.161)</w:t>
            </w:r>
          </w:p>
        </w:tc>
        <w:tc>
          <w:tcPr>
            <w:tcW w:w="1322" w:type="dxa"/>
            <w:tcBorders>
              <w:top w:val="nil"/>
              <w:left w:val="nil"/>
              <w:bottom w:val="nil"/>
              <w:right w:val="nil"/>
            </w:tcBorders>
          </w:tcPr>
          <w:p w14:paraId="4B932D5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0.321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(0.160)</w:t>
            </w:r>
          </w:p>
        </w:tc>
      </w:tr>
      <w:tr w:rsidR="000849BC" w:rsidRPr="000849BC" w14:paraId="2518539B" w14:textId="77777777" w:rsidTr="00D17B7B">
        <w:tc>
          <w:tcPr>
            <w:tcW w:w="1688" w:type="dxa"/>
            <w:tcBorders>
              <w:top w:val="nil"/>
              <w:left w:val="nil"/>
              <w:bottom w:val="nil"/>
              <w:right w:val="nil"/>
            </w:tcBorders>
          </w:tcPr>
          <w:p w14:paraId="45CEDE25"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3rd quintile)</w:t>
            </w:r>
          </w:p>
        </w:tc>
        <w:tc>
          <w:tcPr>
            <w:tcW w:w="1322" w:type="dxa"/>
            <w:tcBorders>
              <w:top w:val="nil"/>
              <w:left w:val="nil"/>
              <w:bottom w:val="nil"/>
              <w:right w:val="nil"/>
            </w:tcBorders>
          </w:tcPr>
          <w:p w14:paraId="2C2D042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0.294</w:t>
            </w:r>
            <w:r w:rsidRPr="000849BC">
              <w:rPr>
                <w:rFonts w:eastAsiaTheme="minorEastAsia" w:cs="Times New Roman"/>
                <w:sz w:val="20"/>
                <w:szCs w:val="20"/>
                <w:lang w:val="en-US" w:eastAsia="ru-RU"/>
              </w:rPr>
              <w:br/>
              <w:t>(0.166)</w:t>
            </w:r>
          </w:p>
        </w:tc>
        <w:tc>
          <w:tcPr>
            <w:tcW w:w="1322" w:type="dxa"/>
            <w:tcBorders>
              <w:top w:val="nil"/>
              <w:left w:val="nil"/>
              <w:bottom w:val="nil"/>
              <w:right w:val="nil"/>
            </w:tcBorders>
          </w:tcPr>
          <w:p w14:paraId="5605871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0.169</w:t>
            </w:r>
            <w:r w:rsidRPr="000849BC">
              <w:rPr>
                <w:rFonts w:eastAsiaTheme="minorEastAsia" w:cs="Times New Roman"/>
                <w:sz w:val="20"/>
                <w:szCs w:val="20"/>
                <w:lang w:val="en-US" w:eastAsia="ru-RU"/>
              </w:rPr>
              <w:br/>
              <w:t>(0.173)</w:t>
            </w:r>
          </w:p>
        </w:tc>
        <w:tc>
          <w:tcPr>
            <w:tcW w:w="1322" w:type="dxa"/>
            <w:tcBorders>
              <w:top w:val="nil"/>
              <w:left w:val="nil"/>
              <w:bottom w:val="nil"/>
              <w:right w:val="nil"/>
            </w:tcBorders>
          </w:tcPr>
          <w:p w14:paraId="2D1D44C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0.447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(0.174)</w:t>
            </w:r>
          </w:p>
        </w:tc>
        <w:tc>
          <w:tcPr>
            <w:tcW w:w="1322" w:type="dxa"/>
            <w:tcBorders>
              <w:top w:val="nil"/>
              <w:left w:val="nil"/>
              <w:bottom w:val="nil"/>
              <w:right w:val="nil"/>
            </w:tcBorders>
          </w:tcPr>
          <w:p w14:paraId="56E4F0B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0.136</w:t>
            </w:r>
            <w:r w:rsidRPr="000849BC">
              <w:rPr>
                <w:rFonts w:eastAsiaTheme="minorEastAsia" w:cs="Times New Roman"/>
                <w:sz w:val="20"/>
                <w:szCs w:val="20"/>
                <w:lang w:val="en-US" w:eastAsia="ru-RU"/>
              </w:rPr>
              <w:br/>
              <w:t>(0.178)</w:t>
            </w:r>
          </w:p>
        </w:tc>
        <w:tc>
          <w:tcPr>
            <w:tcW w:w="1322" w:type="dxa"/>
            <w:tcBorders>
              <w:top w:val="nil"/>
              <w:left w:val="nil"/>
              <w:bottom w:val="nil"/>
              <w:right w:val="nil"/>
            </w:tcBorders>
          </w:tcPr>
          <w:p w14:paraId="27F4906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0.269</w:t>
            </w:r>
            <w:r w:rsidRPr="000849BC">
              <w:rPr>
                <w:rFonts w:eastAsiaTheme="minorEastAsia" w:cs="Times New Roman"/>
                <w:sz w:val="20"/>
                <w:szCs w:val="20"/>
                <w:lang w:val="en-US" w:eastAsia="ru-RU"/>
              </w:rPr>
              <w:br/>
              <w:t>(0.174)</w:t>
            </w:r>
          </w:p>
        </w:tc>
        <w:tc>
          <w:tcPr>
            <w:tcW w:w="1322" w:type="dxa"/>
            <w:tcBorders>
              <w:top w:val="nil"/>
              <w:left w:val="nil"/>
              <w:bottom w:val="nil"/>
              <w:right w:val="nil"/>
            </w:tcBorders>
          </w:tcPr>
          <w:p w14:paraId="6C55728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0.286</w:t>
            </w:r>
            <w:r w:rsidRPr="000849BC">
              <w:rPr>
                <w:rFonts w:eastAsiaTheme="minorEastAsia" w:cs="Times New Roman"/>
                <w:sz w:val="20"/>
                <w:szCs w:val="20"/>
                <w:lang w:val="en-US" w:eastAsia="ru-RU"/>
              </w:rPr>
              <w:br/>
              <w:t>(0.176)</w:t>
            </w:r>
          </w:p>
        </w:tc>
      </w:tr>
      <w:tr w:rsidR="000849BC" w:rsidRPr="000849BC" w14:paraId="3DAAAC98" w14:textId="77777777" w:rsidTr="00D17B7B">
        <w:tc>
          <w:tcPr>
            <w:tcW w:w="1688" w:type="dxa"/>
            <w:tcBorders>
              <w:top w:val="nil"/>
              <w:left w:val="nil"/>
              <w:bottom w:val="nil"/>
              <w:right w:val="nil"/>
            </w:tcBorders>
          </w:tcPr>
          <w:p w14:paraId="314C269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4th quintile</w:t>
            </w:r>
          </w:p>
        </w:tc>
        <w:tc>
          <w:tcPr>
            <w:tcW w:w="1322" w:type="dxa"/>
            <w:tcBorders>
              <w:top w:val="nil"/>
              <w:left w:val="nil"/>
              <w:bottom w:val="nil"/>
              <w:right w:val="nil"/>
            </w:tcBorders>
          </w:tcPr>
          <w:p w14:paraId="517255E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0.595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(0.195)</w:t>
            </w:r>
          </w:p>
        </w:tc>
        <w:tc>
          <w:tcPr>
            <w:tcW w:w="1322" w:type="dxa"/>
            <w:tcBorders>
              <w:top w:val="nil"/>
              <w:left w:val="nil"/>
              <w:bottom w:val="nil"/>
              <w:right w:val="nil"/>
            </w:tcBorders>
          </w:tcPr>
          <w:p w14:paraId="2A56B5A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0.270</w:t>
            </w:r>
            <w:r w:rsidRPr="000849BC">
              <w:rPr>
                <w:rFonts w:eastAsiaTheme="minorEastAsia" w:cs="Times New Roman"/>
                <w:sz w:val="20"/>
                <w:szCs w:val="20"/>
                <w:lang w:val="en-US" w:eastAsia="ru-RU"/>
              </w:rPr>
              <w:br/>
              <w:t>(0.188)</w:t>
            </w:r>
          </w:p>
        </w:tc>
        <w:tc>
          <w:tcPr>
            <w:tcW w:w="1322" w:type="dxa"/>
            <w:tcBorders>
              <w:top w:val="nil"/>
              <w:left w:val="nil"/>
              <w:bottom w:val="nil"/>
              <w:right w:val="nil"/>
            </w:tcBorders>
          </w:tcPr>
          <w:p w14:paraId="5B843BC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0.650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(0.209)</w:t>
            </w:r>
          </w:p>
        </w:tc>
        <w:tc>
          <w:tcPr>
            <w:tcW w:w="1322" w:type="dxa"/>
            <w:tcBorders>
              <w:top w:val="nil"/>
              <w:left w:val="nil"/>
              <w:bottom w:val="nil"/>
              <w:right w:val="nil"/>
            </w:tcBorders>
          </w:tcPr>
          <w:p w14:paraId="7AF65F9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0.427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(0.207)</w:t>
            </w:r>
          </w:p>
        </w:tc>
        <w:tc>
          <w:tcPr>
            <w:tcW w:w="1322" w:type="dxa"/>
            <w:tcBorders>
              <w:top w:val="nil"/>
              <w:left w:val="nil"/>
              <w:bottom w:val="nil"/>
              <w:right w:val="nil"/>
            </w:tcBorders>
          </w:tcPr>
          <w:p w14:paraId="58BF02D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0.409</w:t>
            </w:r>
            <w:r w:rsidRPr="000849BC">
              <w:rPr>
                <w:rFonts w:eastAsiaTheme="minorEastAsia" w:cs="Times New Roman"/>
                <w:sz w:val="20"/>
                <w:szCs w:val="20"/>
                <w:lang w:val="en-US" w:eastAsia="ru-RU"/>
              </w:rPr>
              <w:br/>
              <w:t>(0.214)</w:t>
            </w:r>
          </w:p>
        </w:tc>
        <w:tc>
          <w:tcPr>
            <w:tcW w:w="1322" w:type="dxa"/>
            <w:tcBorders>
              <w:top w:val="nil"/>
              <w:left w:val="nil"/>
              <w:bottom w:val="nil"/>
              <w:right w:val="nil"/>
            </w:tcBorders>
          </w:tcPr>
          <w:p w14:paraId="32DC04A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0.560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(0.201)</w:t>
            </w:r>
          </w:p>
        </w:tc>
      </w:tr>
      <w:tr w:rsidR="000849BC" w:rsidRPr="000849BC" w14:paraId="26B6B07D" w14:textId="77777777" w:rsidTr="00D17B7B">
        <w:tc>
          <w:tcPr>
            <w:tcW w:w="1688" w:type="dxa"/>
            <w:tcBorders>
              <w:top w:val="nil"/>
              <w:left w:val="nil"/>
              <w:bottom w:val="nil"/>
              <w:right w:val="nil"/>
            </w:tcBorders>
          </w:tcPr>
          <w:p w14:paraId="57AC12B7"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5th quintile</w:t>
            </w:r>
          </w:p>
        </w:tc>
        <w:tc>
          <w:tcPr>
            <w:tcW w:w="1322" w:type="dxa"/>
            <w:tcBorders>
              <w:top w:val="nil"/>
              <w:left w:val="nil"/>
              <w:bottom w:val="nil"/>
              <w:right w:val="nil"/>
            </w:tcBorders>
          </w:tcPr>
          <w:p w14:paraId="7F56EBF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0.395</w:t>
            </w:r>
            <w:r w:rsidRPr="000849BC">
              <w:rPr>
                <w:rFonts w:eastAsiaTheme="minorEastAsia" w:cs="Times New Roman"/>
                <w:sz w:val="20"/>
                <w:szCs w:val="20"/>
                <w:lang w:val="en-US" w:eastAsia="ru-RU"/>
              </w:rPr>
              <w:br/>
              <w:t>(0.230)</w:t>
            </w:r>
          </w:p>
        </w:tc>
        <w:tc>
          <w:tcPr>
            <w:tcW w:w="1322" w:type="dxa"/>
            <w:tcBorders>
              <w:top w:val="nil"/>
              <w:left w:val="nil"/>
              <w:bottom w:val="nil"/>
              <w:right w:val="nil"/>
            </w:tcBorders>
          </w:tcPr>
          <w:p w14:paraId="44A75BB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0.416</w:t>
            </w:r>
            <w:r w:rsidRPr="000849BC">
              <w:rPr>
                <w:rFonts w:eastAsiaTheme="minorEastAsia" w:cs="Times New Roman"/>
                <w:sz w:val="20"/>
                <w:szCs w:val="20"/>
                <w:lang w:val="en-US" w:eastAsia="ru-RU"/>
              </w:rPr>
              <w:br/>
              <w:t>(0.216)</w:t>
            </w:r>
          </w:p>
        </w:tc>
        <w:tc>
          <w:tcPr>
            <w:tcW w:w="1322" w:type="dxa"/>
            <w:tcBorders>
              <w:top w:val="nil"/>
              <w:left w:val="nil"/>
              <w:bottom w:val="nil"/>
              <w:right w:val="nil"/>
            </w:tcBorders>
          </w:tcPr>
          <w:p w14:paraId="637748F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0.948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(0.278)</w:t>
            </w:r>
          </w:p>
        </w:tc>
        <w:tc>
          <w:tcPr>
            <w:tcW w:w="1322" w:type="dxa"/>
            <w:tcBorders>
              <w:top w:val="nil"/>
              <w:left w:val="nil"/>
              <w:bottom w:val="nil"/>
              <w:right w:val="nil"/>
            </w:tcBorders>
          </w:tcPr>
          <w:p w14:paraId="7237D7E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0.850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(0.293)</w:t>
            </w:r>
          </w:p>
        </w:tc>
        <w:tc>
          <w:tcPr>
            <w:tcW w:w="1322" w:type="dxa"/>
            <w:tcBorders>
              <w:top w:val="nil"/>
              <w:left w:val="nil"/>
              <w:bottom w:val="nil"/>
              <w:right w:val="nil"/>
            </w:tcBorders>
          </w:tcPr>
          <w:p w14:paraId="636238B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0.618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(0.256)</w:t>
            </w:r>
          </w:p>
        </w:tc>
        <w:tc>
          <w:tcPr>
            <w:tcW w:w="1322" w:type="dxa"/>
            <w:tcBorders>
              <w:top w:val="nil"/>
              <w:left w:val="nil"/>
              <w:bottom w:val="nil"/>
              <w:right w:val="nil"/>
            </w:tcBorders>
          </w:tcPr>
          <w:p w14:paraId="4A25C9A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0.853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(0.306)</w:t>
            </w:r>
          </w:p>
        </w:tc>
      </w:tr>
      <w:tr w:rsidR="000849BC" w:rsidRPr="000849BC" w14:paraId="17538581" w14:textId="77777777" w:rsidTr="00D17B7B">
        <w:tc>
          <w:tcPr>
            <w:tcW w:w="1688" w:type="dxa"/>
            <w:tcBorders>
              <w:top w:val="nil"/>
              <w:left w:val="nil"/>
              <w:bottom w:val="nil"/>
              <w:right w:val="nil"/>
            </w:tcBorders>
          </w:tcPr>
          <w:p w14:paraId="499D7F8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2nd quintile</w:t>
            </w:r>
          </w:p>
        </w:tc>
        <w:tc>
          <w:tcPr>
            <w:tcW w:w="1322" w:type="dxa"/>
            <w:tcBorders>
              <w:top w:val="nil"/>
              <w:left w:val="nil"/>
              <w:bottom w:val="nil"/>
              <w:right w:val="nil"/>
            </w:tcBorders>
          </w:tcPr>
          <w:p w14:paraId="3A3343C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–0.149</w:t>
            </w:r>
            <w:r w:rsidRPr="000849BC">
              <w:rPr>
                <w:rFonts w:eastAsiaTheme="minorEastAsia" w:cs="Times New Roman"/>
                <w:sz w:val="20"/>
                <w:szCs w:val="20"/>
                <w:lang w:val="en-US" w:eastAsia="ru-RU"/>
              </w:rPr>
              <w:br/>
              <w:t>(0.289)</w:t>
            </w:r>
          </w:p>
        </w:tc>
        <w:tc>
          <w:tcPr>
            <w:tcW w:w="1322" w:type="dxa"/>
            <w:tcBorders>
              <w:top w:val="nil"/>
              <w:left w:val="nil"/>
              <w:bottom w:val="nil"/>
              <w:right w:val="nil"/>
            </w:tcBorders>
          </w:tcPr>
          <w:p w14:paraId="5BBAFC6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0.149</w:t>
            </w:r>
            <w:r w:rsidRPr="000849BC">
              <w:rPr>
                <w:rFonts w:eastAsiaTheme="minorEastAsia" w:cs="Times New Roman"/>
                <w:sz w:val="20"/>
                <w:szCs w:val="20"/>
                <w:lang w:val="en-US" w:eastAsia="ru-RU"/>
              </w:rPr>
              <w:br/>
              <w:t>(0.291)</w:t>
            </w:r>
          </w:p>
        </w:tc>
        <w:tc>
          <w:tcPr>
            <w:tcW w:w="1322" w:type="dxa"/>
            <w:tcBorders>
              <w:top w:val="nil"/>
              <w:left w:val="nil"/>
              <w:bottom w:val="nil"/>
              <w:right w:val="nil"/>
            </w:tcBorders>
          </w:tcPr>
          <w:p w14:paraId="2F73067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0.218</w:t>
            </w:r>
            <w:r w:rsidRPr="000849BC">
              <w:rPr>
                <w:rFonts w:eastAsiaTheme="minorEastAsia" w:cs="Times New Roman"/>
                <w:sz w:val="20"/>
                <w:szCs w:val="20"/>
                <w:lang w:val="en-US" w:eastAsia="ru-RU"/>
              </w:rPr>
              <w:br/>
              <w:t>(0.305)</w:t>
            </w:r>
          </w:p>
        </w:tc>
        <w:tc>
          <w:tcPr>
            <w:tcW w:w="1322" w:type="dxa"/>
            <w:tcBorders>
              <w:top w:val="nil"/>
              <w:left w:val="nil"/>
              <w:bottom w:val="nil"/>
              <w:right w:val="nil"/>
            </w:tcBorders>
          </w:tcPr>
          <w:p w14:paraId="6ACAE7E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0.273</w:t>
            </w:r>
            <w:r w:rsidRPr="000849BC">
              <w:rPr>
                <w:rFonts w:eastAsiaTheme="minorEastAsia" w:cs="Times New Roman"/>
                <w:sz w:val="20"/>
                <w:szCs w:val="20"/>
                <w:lang w:val="en-US" w:eastAsia="ru-RU"/>
              </w:rPr>
              <w:br/>
              <w:t>(0.305)</w:t>
            </w:r>
          </w:p>
        </w:tc>
        <w:tc>
          <w:tcPr>
            <w:tcW w:w="1322" w:type="dxa"/>
            <w:tcBorders>
              <w:top w:val="nil"/>
              <w:left w:val="nil"/>
              <w:bottom w:val="nil"/>
              <w:right w:val="nil"/>
            </w:tcBorders>
          </w:tcPr>
          <w:p w14:paraId="052F745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0.125</w:t>
            </w:r>
            <w:r w:rsidRPr="000849BC">
              <w:rPr>
                <w:rFonts w:eastAsiaTheme="minorEastAsia" w:cs="Times New Roman"/>
                <w:sz w:val="20"/>
                <w:szCs w:val="20"/>
                <w:lang w:val="en-US" w:eastAsia="ru-RU"/>
              </w:rPr>
              <w:br/>
              <w:t>(0.308)</w:t>
            </w:r>
          </w:p>
        </w:tc>
        <w:tc>
          <w:tcPr>
            <w:tcW w:w="1322" w:type="dxa"/>
            <w:tcBorders>
              <w:top w:val="nil"/>
              <w:left w:val="nil"/>
              <w:bottom w:val="nil"/>
              <w:right w:val="nil"/>
            </w:tcBorders>
          </w:tcPr>
          <w:p w14:paraId="088FFFC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0.057</w:t>
            </w:r>
            <w:r w:rsidRPr="000849BC">
              <w:rPr>
                <w:rFonts w:eastAsiaTheme="minorEastAsia" w:cs="Times New Roman"/>
                <w:sz w:val="20"/>
                <w:szCs w:val="20"/>
                <w:lang w:val="en-US" w:eastAsia="ru-RU"/>
              </w:rPr>
              <w:br/>
              <w:t>(0.303)</w:t>
            </w:r>
          </w:p>
        </w:tc>
      </w:tr>
      <w:tr w:rsidR="000849BC" w:rsidRPr="000849BC" w14:paraId="4BC47E38" w14:textId="77777777" w:rsidTr="00D17B7B">
        <w:tc>
          <w:tcPr>
            <w:tcW w:w="1688" w:type="dxa"/>
            <w:tcBorders>
              <w:top w:val="nil"/>
              <w:left w:val="nil"/>
              <w:bottom w:val="nil"/>
              <w:right w:val="nil"/>
            </w:tcBorders>
          </w:tcPr>
          <w:p w14:paraId="7A355909"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3rd quintile</w:t>
            </w:r>
          </w:p>
        </w:tc>
        <w:tc>
          <w:tcPr>
            <w:tcW w:w="1322" w:type="dxa"/>
            <w:tcBorders>
              <w:top w:val="nil"/>
              <w:left w:val="nil"/>
              <w:bottom w:val="nil"/>
              <w:right w:val="nil"/>
            </w:tcBorders>
          </w:tcPr>
          <w:p w14:paraId="6BA5B0C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–0.002</w:t>
            </w:r>
            <w:r w:rsidRPr="000849BC">
              <w:rPr>
                <w:rFonts w:eastAsiaTheme="minorEastAsia" w:cs="Times New Roman"/>
                <w:sz w:val="20"/>
                <w:szCs w:val="20"/>
                <w:lang w:val="en-US" w:eastAsia="ru-RU"/>
              </w:rPr>
              <w:br/>
              <w:t>(0.302)</w:t>
            </w:r>
          </w:p>
        </w:tc>
        <w:tc>
          <w:tcPr>
            <w:tcW w:w="1322" w:type="dxa"/>
            <w:tcBorders>
              <w:top w:val="nil"/>
              <w:left w:val="nil"/>
              <w:bottom w:val="nil"/>
              <w:right w:val="nil"/>
            </w:tcBorders>
          </w:tcPr>
          <w:p w14:paraId="4E7C459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0.247</w:t>
            </w:r>
            <w:r w:rsidRPr="000849BC">
              <w:rPr>
                <w:rFonts w:eastAsiaTheme="minorEastAsia" w:cs="Times New Roman"/>
                <w:sz w:val="20"/>
                <w:szCs w:val="20"/>
                <w:lang w:val="en-US" w:eastAsia="ru-RU"/>
              </w:rPr>
              <w:br/>
              <w:t>(0.312)</w:t>
            </w:r>
          </w:p>
        </w:tc>
        <w:tc>
          <w:tcPr>
            <w:tcW w:w="1322" w:type="dxa"/>
            <w:tcBorders>
              <w:top w:val="nil"/>
              <w:left w:val="nil"/>
              <w:bottom w:val="nil"/>
              <w:right w:val="nil"/>
            </w:tcBorders>
          </w:tcPr>
          <w:p w14:paraId="1087B19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–0.306</w:t>
            </w:r>
            <w:r w:rsidRPr="000849BC">
              <w:rPr>
                <w:rFonts w:eastAsiaTheme="minorEastAsia" w:cs="Times New Roman"/>
                <w:sz w:val="20"/>
                <w:szCs w:val="20"/>
                <w:lang w:val="en-US" w:eastAsia="ru-RU"/>
              </w:rPr>
              <w:br/>
              <w:t>(0.314)</w:t>
            </w:r>
          </w:p>
        </w:tc>
        <w:tc>
          <w:tcPr>
            <w:tcW w:w="1322" w:type="dxa"/>
            <w:tcBorders>
              <w:top w:val="nil"/>
              <w:left w:val="nil"/>
              <w:bottom w:val="nil"/>
              <w:right w:val="nil"/>
            </w:tcBorders>
          </w:tcPr>
          <w:p w14:paraId="40B3C21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0.211</w:t>
            </w:r>
            <w:r w:rsidRPr="000849BC">
              <w:rPr>
                <w:rFonts w:eastAsiaTheme="minorEastAsia" w:cs="Times New Roman"/>
                <w:sz w:val="20"/>
                <w:szCs w:val="20"/>
                <w:lang w:val="en-US" w:eastAsia="ru-RU"/>
              </w:rPr>
              <w:br/>
              <w:t>(0.309)</w:t>
            </w:r>
          </w:p>
        </w:tc>
        <w:tc>
          <w:tcPr>
            <w:tcW w:w="1322" w:type="dxa"/>
            <w:tcBorders>
              <w:top w:val="nil"/>
              <w:left w:val="nil"/>
              <w:bottom w:val="nil"/>
              <w:right w:val="nil"/>
            </w:tcBorders>
          </w:tcPr>
          <w:p w14:paraId="4B2AECD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–0.049</w:t>
            </w:r>
            <w:r w:rsidRPr="000849BC">
              <w:rPr>
                <w:rFonts w:eastAsiaTheme="minorEastAsia" w:cs="Times New Roman"/>
                <w:sz w:val="20"/>
                <w:szCs w:val="20"/>
                <w:lang w:val="en-US" w:eastAsia="ru-RU"/>
              </w:rPr>
              <w:br/>
              <w:t>(0.321)</w:t>
            </w:r>
          </w:p>
        </w:tc>
        <w:tc>
          <w:tcPr>
            <w:tcW w:w="1322" w:type="dxa"/>
            <w:tcBorders>
              <w:top w:val="nil"/>
              <w:left w:val="nil"/>
              <w:bottom w:val="nil"/>
              <w:right w:val="nil"/>
            </w:tcBorders>
          </w:tcPr>
          <w:p w14:paraId="48CBC15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–0.017</w:t>
            </w:r>
            <w:r w:rsidRPr="000849BC">
              <w:rPr>
                <w:rFonts w:eastAsiaTheme="minorEastAsia" w:cs="Times New Roman"/>
                <w:sz w:val="20"/>
                <w:szCs w:val="20"/>
                <w:lang w:val="en-US" w:eastAsia="ru-RU"/>
              </w:rPr>
              <w:br/>
              <w:t>(0.317)</w:t>
            </w:r>
          </w:p>
        </w:tc>
      </w:tr>
      <w:tr w:rsidR="000849BC" w:rsidRPr="000849BC" w14:paraId="5C421F7E" w14:textId="77777777" w:rsidTr="00D17B7B">
        <w:tc>
          <w:tcPr>
            <w:tcW w:w="1688" w:type="dxa"/>
            <w:tcBorders>
              <w:top w:val="nil"/>
              <w:left w:val="nil"/>
              <w:bottom w:val="nil"/>
              <w:right w:val="nil"/>
            </w:tcBorders>
          </w:tcPr>
          <w:p w14:paraId="4C2B07DB"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4th quintile</w:t>
            </w:r>
          </w:p>
        </w:tc>
        <w:tc>
          <w:tcPr>
            <w:tcW w:w="1322" w:type="dxa"/>
            <w:tcBorders>
              <w:top w:val="nil"/>
              <w:left w:val="nil"/>
              <w:bottom w:val="nil"/>
              <w:right w:val="nil"/>
            </w:tcBorders>
          </w:tcPr>
          <w:p w14:paraId="29D92A6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0.442</w:t>
            </w:r>
            <w:r w:rsidRPr="000849BC">
              <w:rPr>
                <w:rFonts w:eastAsiaTheme="minorEastAsia" w:cs="Times New Roman"/>
                <w:sz w:val="20"/>
                <w:szCs w:val="20"/>
                <w:lang w:val="en-US" w:eastAsia="ru-RU"/>
              </w:rPr>
              <w:br/>
              <w:t>(0.329)</w:t>
            </w:r>
          </w:p>
        </w:tc>
        <w:tc>
          <w:tcPr>
            <w:tcW w:w="1322" w:type="dxa"/>
            <w:tcBorders>
              <w:top w:val="nil"/>
              <w:left w:val="nil"/>
              <w:bottom w:val="nil"/>
              <w:right w:val="nil"/>
            </w:tcBorders>
          </w:tcPr>
          <w:p w14:paraId="0B3CCD6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0.674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(0.333)</w:t>
            </w:r>
          </w:p>
        </w:tc>
        <w:tc>
          <w:tcPr>
            <w:tcW w:w="1322" w:type="dxa"/>
            <w:tcBorders>
              <w:top w:val="nil"/>
              <w:left w:val="nil"/>
              <w:bottom w:val="nil"/>
              <w:right w:val="nil"/>
            </w:tcBorders>
          </w:tcPr>
          <w:p w14:paraId="36A1627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0.534</w:t>
            </w:r>
            <w:r w:rsidRPr="000849BC">
              <w:rPr>
                <w:rFonts w:eastAsiaTheme="minorEastAsia" w:cs="Times New Roman"/>
                <w:sz w:val="20"/>
                <w:szCs w:val="20"/>
                <w:lang w:val="en-US" w:eastAsia="ru-RU"/>
              </w:rPr>
              <w:br/>
              <w:t>(0.369)</w:t>
            </w:r>
          </w:p>
        </w:tc>
        <w:tc>
          <w:tcPr>
            <w:tcW w:w="1322" w:type="dxa"/>
            <w:tcBorders>
              <w:top w:val="nil"/>
              <w:left w:val="nil"/>
              <w:bottom w:val="nil"/>
              <w:right w:val="nil"/>
            </w:tcBorders>
          </w:tcPr>
          <w:p w14:paraId="684ADB2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0.358</w:t>
            </w:r>
            <w:r w:rsidRPr="000849BC">
              <w:rPr>
                <w:rFonts w:eastAsiaTheme="minorEastAsia" w:cs="Times New Roman"/>
                <w:sz w:val="20"/>
                <w:szCs w:val="20"/>
                <w:lang w:val="en-US" w:eastAsia="ru-RU"/>
              </w:rPr>
              <w:br/>
              <w:t>(0.340)</w:t>
            </w:r>
          </w:p>
        </w:tc>
        <w:tc>
          <w:tcPr>
            <w:tcW w:w="1322" w:type="dxa"/>
            <w:tcBorders>
              <w:top w:val="nil"/>
              <w:left w:val="nil"/>
              <w:bottom w:val="nil"/>
              <w:right w:val="nil"/>
            </w:tcBorders>
          </w:tcPr>
          <w:p w14:paraId="1AC626E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0.070</w:t>
            </w:r>
            <w:r w:rsidRPr="000849BC">
              <w:rPr>
                <w:rFonts w:eastAsiaTheme="minorEastAsia" w:cs="Times New Roman"/>
                <w:sz w:val="20"/>
                <w:szCs w:val="20"/>
                <w:lang w:val="en-US" w:eastAsia="ru-RU"/>
              </w:rPr>
              <w:br/>
              <w:t>(0.340)</w:t>
            </w:r>
          </w:p>
        </w:tc>
        <w:tc>
          <w:tcPr>
            <w:tcW w:w="1322" w:type="dxa"/>
            <w:tcBorders>
              <w:top w:val="nil"/>
              <w:left w:val="nil"/>
              <w:bottom w:val="nil"/>
              <w:right w:val="nil"/>
            </w:tcBorders>
          </w:tcPr>
          <w:p w14:paraId="3ED0686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0.124</w:t>
            </w:r>
            <w:r w:rsidRPr="000849BC">
              <w:rPr>
                <w:rFonts w:eastAsiaTheme="minorEastAsia" w:cs="Times New Roman"/>
                <w:sz w:val="20"/>
                <w:szCs w:val="20"/>
                <w:lang w:val="en-US" w:eastAsia="ru-RU"/>
              </w:rPr>
              <w:br/>
              <w:t>(0.343)</w:t>
            </w:r>
          </w:p>
        </w:tc>
      </w:tr>
      <w:tr w:rsidR="000849BC" w:rsidRPr="000849BC" w14:paraId="7BBB692F" w14:textId="77777777" w:rsidTr="00D17B7B">
        <w:tc>
          <w:tcPr>
            <w:tcW w:w="1688" w:type="dxa"/>
            <w:tcBorders>
              <w:top w:val="nil"/>
              <w:left w:val="nil"/>
              <w:bottom w:val="nil"/>
              <w:right w:val="nil"/>
            </w:tcBorders>
          </w:tcPr>
          <w:p w14:paraId="6FBF0A13"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 x 5th quintile</w:t>
            </w:r>
          </w:p>
        </w:tc>
        <w:tc>
          <w:tcPr>
            <w:tcW w:w="1322" w:type="dxa"/>
            <w:tcBorders>
              <w:top w:val="nil"/>
              <w:left w:val="nil"/>
              <w:bottom w:val="nil"/>
              <w:right w:val="nil"/>
            </w:tcBorders>
          </w:tcPr>
          <w:p w14:paraId="0EF26AE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0.873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(0.371)</w:t>
            </w:r>
          </w:p>
        </w:tc>
        <w:tc>
          <w:tcPr>
            <w:tcW w:w="1322" w:type="dxa"/>
            <w:tcBorders>
              <w:top w:val="nil"/>
              <w:left w:val="nil"/>
              <w:bottom w:val="nil"/>
              <w:right w:val="nil"/>
            </w:tcBorders>
          </w:tcPr>
          <w:p w14:paraId="04FCA87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0.784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(0.356)</w:t>
            </w:r>
          </w:p>
        </w:tc>
        <w:tc>
          <w:tcPr>
            <w:tcW w:w="1322" w:type="dxa"/>
            <w:tcBorders>
              <w:top w:val="nil"/>
              <w:left w:val="nil"/>
              <w:bottom w:val="nil"/>
              <w:right w:val="nil"/>
            </w:tcBorders>
          </w:tcPr>
          <w:p w14:paraId="6BD8AB8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0.637</w:t>
            </w:r>
            <w:r w:rsidRPr="000849BC">
              <w:rPr>
                <w:rFonts w:eastAsiaTheme="minorEastAsia" w:cs="Times New Roman"/>
                <w:sz w:val="20"/>
                <w:szCs w:val="20"/>
                <w:lang w:val="en-US" w:eastAsia="ru-RU"/>
              </w:rPr>
              <w:br/>
              <w:t>(0.415)</w:t>
            </w:r>
          </w:p>
        </w:tc>
        <w:tc>
          <w:tcPr>
            <w:tcW w:w="1322" w:type="dxa"/>
            <w:tcBorders>
              <w:top w:val="nil"/>
              <w:left w:val="nil"/>
              <w:bottom w:val="nil"/>
              <w:right w:val="nil"/>
            </w:tcBorders>
          </w:tcPr>
          <w:p w14:paraId="723A793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1.339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(0.492)</w:t>
            </w:r>
          </w:p>
        </w:tc>
        <w:tc>
          <w:tcPr>
            <w:tcW w:w="1322" w:type="dxa"/>
            <w:tcBorders>
              <w:top w:val="nil"/>
              <w:left w:val="nil"/>
              <w:bottom w:val="nil"/>
              <w:right w:val="nil"/>
            </w:tcBorders>
          </w:tcPr>
          <w:p w14:paraId="4849455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0.928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(0.412)</w:t>
            </w:r>
          </w:p>
        </w:tc>
        <w:tc>
          <w:tcPr>
            <w:tcW w:w="1322" w:type="dxa"/>
            <w:tcBorders>
              <w:top w:val="nil"/>
              <w:left w:val="nil"/>
              <w:bottom w:val="nil"/>
              <w:right w:val="nil"/>
            </w:tcBorders>
          </w:tcPr>
          <w:p w14:paraId="3DF5048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1.147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(0.464)</w:t>
            </w:r>
          </w:p>
        </w:tc>
      </w:tr>
      <w:tr w:rsidR="000849BC" w:rsidRPr="000849BC" w14:paraId="28A4762D" w14:textId="77777777" w:rsidTr="00D17B7B">
        <w:tc>
          <w:tcPr>
            <w:tcW w:w="1688" w:type="dxa"/>
            <w:tcBorders>
              <w:top w:val="nil"/>
              <w:left w:val="nil"/>
              <w:bottom w:val="single" w:sz="4" w:space="0" w:color="auto"/>
              <w:right w:val="nil"/>
            </w:tcBorders>
          </w:tcPr>
          <w:p w14:paraId="5FBF2E7A"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1322" w:type="dxa"/>
            <w:tcBorders>
              <w:top w:val="nil"/>
              <w:left w:val="nil"/>
              <w:bottom w:val="single" w:sz="4" w:space="0" w:color="auto"/>
              <w:right w:val="nil"/>
            </w:tcBorders>
          </w:tcPr>
          <w:p w14:paraId="4466E8A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–0.701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(0.117)</w:t>
            </w:r>
          </w:p>
        </w:tc>
        <w:tc>
          <w:tcPr>
            <w:tcW w:w="1322" w:type="dxa"/>
            <w:tcBorders>
              <w:top w:val="nil"/>
              <w:left w:val="nil"/>
              <w:bottom w:val="single" w:sz="4" w:space="0" w:color="auto"/>
              <w:right w:val="nil"/>
            </w:tcBorders>
          </w:tcPr>
          <w:p w14:paraId="3AF7D21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–0.654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(0.120)</w:t>
            </w:r>
          </w:p>
        </w:tc>
        <w:tc>
          <w:tcPr>
            <w:tcW w:w="1322" w:type="dxa"/>
            <w:tcBorders>
              <w:top w:val="nil"/>
              <w:left w:val="nil"/>
              <w:bottom w:val="single" w:sz="4" w:space="0" w:color="auto"/>
              <w:right w:val="nil"/>
            </w:tcBorders>
          </w:tcPr>
          <w:p w14:paraId="50448A0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–0.771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(0.125)</w:t>
            </w:r>
          </w:p>
        </w:tc>
        <w:tc>
          <w:tcPr>
            <w:tcW w:w="1322" w:type="dxa"/>
            <w:tcBorders>
              <w:top w:val="nil"/>
              <w:left w:val="nil"/>
              <w:bottom w:val="single" w:sz="4" w:space="0" w:color="auto"/>
              <w:right w:val="nil"/>
            </w:tcBorders>
          </w:tcPr>
          <w:p w14:paraId="706F690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–0.529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(0.117)</w:t>
            </w:r>
          </w:p>
        </w:tc>
        <w:tc>
          <w:tcPr>
            <w:tcW w:w="1322" w:type="dxa"/>
            <w:tcBorders>
              <w:top w:val="nil"/>
              <w:left w:val="nil"/>
              <w:bottom w:val="single" w:sz="4" w:space="0" w:color="auto"/>
              <w:right w:val="nil"/>
            </w:tcBorders>
          </w:tcPr>
          <w:p w14:paraId="7D1C5C5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–0.636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(0.125)</w:t>
            </w:r>
          </w:p>
        </w:tc>
        <w:tc>
          <w:tcPr>
            <w:tcW w:w="1322" w:type="dxa"/>
            <w:tcBorders>
              <w:top w:val="nil"/>
              <w:left w:val="nil"/>
              <w:bottom w:val="single" w:sz="4" w:space="0" w:color="auto"/>
              <w:right w:val="nil"/>
            </w:tcBorders>
          </w:tcPr>
          <w:p w14:paraId="440FAE7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–0.718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(0.121)</w:t>
            </w:r>
          </w:p>
        </w:tc>
      </w:tr>
      <w:tr w:rsidR="000849BC" w:rsidRPr="000849BC" w14:paraId="17377FF6" w14:textId="77777777" w:rsidTr="00D17B7B">
        <w:tc>
          <w:tcPr>
            <w:tcW w:w="1688" w:type="dxa"/>
            <w:tcBorders>
              <w:top w:val="single" w:sz="4" w:space="0" w:color="auto"/>
              <w:left w:val="nil"/>
              <w:bottom w:val="nil"/>
              <w:right w:val="nil"/>
            </w:tcBorders>
          </w:tcPr>
          <w:p w14:paraId="4856749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LR χ</w:t>
            </w:r>
            <w:r w:rsidRPr="000849BC">
              <w:rPr>
                <w:rFonts w:eastAsiaTheme="minorEastAsia" w:cs="Times New Roman"/>
                <w:sz w:val="20"/>
                <w:szCs w:val="20"/>
                <w:vertAlign w:val="superscript"/>
                <w:lang w:val="en-US" w:eastAsia="ru-RU"/>
              </w:rPr>
              <w:t>2</w:t>
            </w:r>
          </w:p>
        </w:tc>
        <w:tc>
          <w:tcPr>
            <w:tcW w:w="1322" w:type="dxa"/>
            <w:tcBorders>
              <w:top w:val="single" w:sz="4" w:space="0" w:color="auto"/>
              <w:left w:val="nil"/>
              <w:bottom w:val="nil"/>
              <w:right w:val="nil"/>
            </w:tcBorders>
          </w:tcPr>
          <w:p w14:paraId="37C483D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1371.9</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090218D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1308.5</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3080764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1353.7</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4B46712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1381.7</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686F226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1263.4</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0A87CFB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1455.6</w:t>
            </w:r>
            <w:r w:rsidRPr="000849BC">
              <w:rPr>
                <w:rFonts w:eastAsiaTheme="minorEastAsia" w:cs="Times New Roman"/>
                <w:sz w:val="20"/>
                <w:szCs w:val="20"/>
                <w:vertAlign w:val="superscript"/>
                <w:lang w:val="en-US" w:eastAsia="ru-RU"/>
              </w:rPr>
              <w:t>***</w:t>
            </w:r>
          </w:p>
        </w:tc>
      </w:tr>
      <w:tr w:rsidR="000849BC" w:rsidRPr="000849BC" w14:paraId="12C5C1B2" w14:textId="77777777" w:rsidTr="00D17B7B">
        <w:tc>
          <w:tcPr>
            <w:tcW w:w="1688" w:type="dxa"/>
            <w:tcBorders>
              <w:top w:val="nil"/>
              <w:left w:val="nil"/>
              <w:bottom w:val="nil"/>
              <w:right w:val="nil"/>
            </w:tcBorders>
          </w:tcPr>
          <w:p w14:paraId="4734BEDB"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Pseudo-R</w:t>
            </w:r>
            <w:r w:rsidRPr="000849BC">
              <w:rPr>
                <w:rFonts w:eastAsiaTheme="minorEastAsia" w:cs="Times New Roman"/>
                <w:sz w:val="20"/>
                <w:szCs w:val="20"/>
                <w:vertAlign w:val="superscript"/>
                <w:lang w:val="en-US" w:eastAsia="ru-RU"/>
              </w:rPr>
              <w:t>2</w:t>
            </w:r>
          </w:p>
        </w:tc>
        <w:tc>
          <w:tcPr>
            <w:tcW w:w="1322" w:type="dxa"/>
            <w:tcBorders>
              <w:top w:val="nil"/>
              <w:left w:val="nil"/>
              <w:bottom w:val="nil"/>
              <w:right w:val="nil"/>
            </w:tcBorders>
          </w:tcPr>
          <w:p w14:paraId="4D8AC42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0.103</w:t>
            </w:r>
          </w:p>
        </w:tc>
        <w:tc>
          <w:tcPr>
            <w:tcW w:w="1322" w:type="dxa"/>
            <w:tcBorders>
              <w:top w:val="nil"/>
              <w:left w:val="nil"/>
              <w:bottom w:val="nil"/>
              <w:right w:val="nil"/>
            </w:tcBorders>
          </w:tcPr>
          <w:p w14:paraId="5F93076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0.098</w:t>
            </w:r>
          </w:p>
        </w:tc>
        <w:tc>
          <w:tcPr>
            <w:tcW w:w="1322" w:type="dxa"/>
            <w:tcBorders>
              <w:top w:val="nil"/>
              <w:left w:val="nil"/>
              <w:bottom w:val="nil"/>
              <w:right w:val="nil"/>
            </w:tcBorders>
          </w:tcPr>
          <w:p w14:paraId="268F8CA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0.112</w:t>
            </w:r>
          </w:p>
        </w:tc>
        <w:tc>
          <w:tcPr>
            <w:tcW w:w="1322" w:type="dxa"/>
            <w:tcBorders>
              <w:top w:val="nil"/>
              <w:left w:val="nil"/>
              <w:bottom w:val="nil"/>
              <w:right w:val="nil"/>
            </w:tcBorders>
          </w:tcPr>
          <w:p w14:paraId="6C12B54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0.114</w:t>
            </w:r>
          </w:p>
        </w:tc>
        <w:tc>
          <w:tcPr>
            <w:tcW w:w="1322" w:type="dxa"/>
            <w:tcBorders>
              <w:top w:val="nil"/>
              <w:left w:val="nil"/>
              <w:bottom w:val="nil"/>
              <w:right w:val="nil"/>
            </w:tcBorders>
          </w:tcPr>
          <w:p w14:paraId="24C17F3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0.104</w:t>
            </w:r>
          </w:p>
        </w:tc>
        <w:tc>
          <w:tcPr>
            <w:tcW w:w="1322" w:type="dxa"/>
            <w:tcBorders>
              <w:top w:val="nil"/>
              <w:left w:val="nil"/>
              <w:bottom w:val="nil"/>
              <w:right w:val="nil"/>
            </w:tcBorders>
          </w:tcPr>
          <w:p w14:paraId="2E3A6F1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0.120</w:t>
            </w:r>
          </w:p>
        </w:tc>
      </w:tr>
      <w:tr w:rsidR="000849BC" w:rsidRPr="000849BC" w14:paraId="7F4B410C" w14:textId="77777777" w:rsidTr="00D17B7B">
        <w:tc>
          <w:tcPr>
            <w:tcW w:w="1688" w:type="dxa"/>
            <w:tcBorders>
              <w:top w:val="nil"/>
              <w:left w:val="nil"/>
              <w:bottom w:val="nil"/>
              <w:right w:val="nil"/>
            </w:tcBorders>
          </w:tcPr>
          <w:p w14:paraId="47A47D7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roofErr w:type="spellStart"/>
            <w:r w:rsidRPr="000849BC">
              <w:rPr>
                <w:rFonts w:eastAsiaTheme="minorEastAsia" w:cs="Times New Roman"/>
                <w:i/>
                <w:iCs/>
                <w:sz w:val="20"/>
                <w:szCs w:val="20"/>
                <w:lang w:val="en-US" w:eastAsia="ru-RU"/>
              </w:rPr>
              <w:t>df</w:t>
            </w:r>
            <w:proofErr w:type="spellEnd"/>
          </w:p>
        </w:tc>
        <w:tc>
          <w:tcPr>
            <w:tcW w:w="1322" w:type="dxa"/>
            <w:tcBorders>
              <w:top w:val="nil"/>
              <w:left w:val="nil"/>
              <w:bottom w:val="nil"/>
              <w:right w:val="nil"/>
            </w:tcBorders>
          </w:tcPr>
          <w:p w14:paraId="0C6D1F3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48</w:t>
            </w:r>
          </w:p>
        </w:tc>
        <w:tc>
          <w:tcPr>
            <w:tcW w:w="1322" w:type="dxa"/>
            <w:tcBorders>
              <w:top w:val="nil"/>
              <w:left w:val="nil"/>
              <w:bottom w:val="nil"/>
              <w:right w:val="nil"/>
            </w:tcBorders>
          </w:tcPr>
          <w:p w14:paraId="515409B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48</w:t>
            </w:r>
          </w:p>
        </w:tc>
        <w:tc>
          <w:tcPr>
            <w:tcW w:w="1322" w:type="dxa"/>
            <w:tcBorders>
              <w:top w:val="nil"/>
              <w:left w:val="nil"/>
              <w:bottom w:val="nil"/>
              <w:right w:val="nil"/>
            </w:tcBorders>
          </w:tcPr>
          <w:p w14:paraId="20050E1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48</w:t>
            </w:r>
          </w:p>
        </w:tc>
        <w:tc>
          <w:tcPr>
            <w:tcW w:w="1322" w:type="dxa"/>
            <w:tcBorders>
              <w:top w:val="nil"/>
              <w:left w:val="nil"/>
              <w:bottom w:val="nil"/>
              <w:right w:val="nil"/>
            </w:tcBorders>
          </w:tcPr>
          <w:p w14:paraId="7CFB529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48</w:t>
            </w:r>
          </w:p>
        </w:tc>
        <w:tc>
          <w:tcPr>
            <w:tcW w:w="1322" w:type="dxa"/>
            <w:tcBorders>
              <w:top w:val="nil"/>
              <w:left w:val="nil"/>
              <w:bottom w:val="nil"/>
              <w:right w:val="nil"/>
            </w:tcBorders>
          </w:tcPr>
          <w:p w14:paraId="509B4AF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48</w:t>
            </w:r>
          </w:p>
        </w:tc>
        <w:tc>
          <w:tcPr>
            <w:tcW w:w="1322" w:type="dxa"/>
            <w:tcBorders>
              <w:top w:val="nil"/>
              <w:left w:val="nil"/>
              <w:bottom w:val="nil"/>
              <w:right w:val="nil"/>
            </w:tcBorders>
          </w:tcPr>
          <w:p w14:paraId="7097816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48</w:t>
            </w:r>
          </w:p>
        </w:tc>
      </w:tr>
      <w:tr w:rsidR="000849BC" w:rsidRPr="000849BC" w14:paraId="652F5C87" w14:textId="77777777" w:rsidTr="00D17B7B">
        <w:tc>
          <w:tcPr>
            <w:tcW w:w="1688" w:type="dxa"/>
            <w:tcBorders>
              <w:top w:val="nil"/>
              <w:left w:val="nil"/>
              <w:bottom w:val="single" w:sz="4" w:space="0" w:color="auto"/>
              <w:right w:val="nil"/>
            </w:tcBorders>
          </w:tcPr>
          <w:p w14:paraId="050B6F43"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N</w:t>
            </w:r>
          </w:p>
        </w:tc>
        <w:tc>
          <w:tcPr>
            <w:tcW w:w="1322" w:type="dxa"/>
            <w:tcBorders>
              <w:top w:val="nil"/>
              <w:left w:val="nil"/>
              <w:bottom w:val="single" w:sz="4" w:space="0" w:color="auto"/>
              <w:right w:val="nil"/>
            </w:tcBorders>
          </w:tcPr>
          <w:p w14:paraId="22B8013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4,711</w:t>
            </w:r>
          </w:p>
        </w:tc>
        <w:tc>
          <w:tcPr>
            <w:tcW w:w="1322" w:type="dxa"/>
            <w:tcBorders>
              <w:top w:val="nil"/>
              <w:left w:val="nil"/>
              <w:bottom w:val="single" w:sz="4" w:space="0" w:color="auto"/>
              <w:right w:val="nil"/>
            </w:tcBorders>
          </w:tcPr>
          <w:p w14:paraId="08140E8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4,711</w:t>
            </w:r>
          </w:p>
        </w:tc>
        <w:tc>
          <w:tcPr>
            <w:tcW w:w="1322" w:type="dxa"/>
            <w:tcBorders>
              <w:top w:val="nil"/>
              <w:left w:val="nil"/>
              <w:bottom w:val="single" w:sz="4" w:space="0" w:color="auto"/>
              <w:right w:val="nil"/>
            </w:tcBorders>
          </w:tcPr>
          <w:p w14:paraId="047D04B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4,308</w:t>
            </w:r>
          </w:p>
        </w:tc>
        <w:tc>
          <w:tcPr>
            <w:tcW w:w="1322" w:type="dxa"/>
            <w:tcBorders>
              <w:top w:val="nil"/>
              <w:left w:val="nil"/>
              <w:bottom w:val="single" w:sz="4" w:space="0" w:color="auto"/>
              <w:right w:val="nil"/>
            </w:tcBorders>
          </w:tcPr>
          <w:p w14:paraId="4B2AAD8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4,308</w:t>
            </w:r>
          </w:p>
        </w:tc>
        <w:tc>
          <w:tcPr>
            <w:tcW w:w="1322" w:type="dxa"/>
            <w:tcBorders>
              <w:top w:val="nil"/>
              <w:left w:val="nil"/>
              <w:bottom w:val="single" w:sz="4" w:space="0" w:color="auto"/>
              <w:right w:val="nil"/>
            </w:tcBorders>
          </w:tcPr>
          <w:p w14:paraId="3F4F239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4,308</w:t>
            </w:r>
          </w:p>
        </w:tc>
        <w:tc>
          <w:tcPr>
            <w:tcW w:w="1322" w:type="dxa"/>
            <w:tcBorders>
              <w:top w:val="nil"/>
              <w:left w:val="nil"/>
              <w:bottom w:val="single" w:sz="4" w:space="0" w:color="auto"/>
              <w:right w:val="nil"/>
            </w:tcBorders>
          </w:tcPr>
          <w:p w14:paraId="5A14A5F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4,308</w:t>
            </w:r>
          </w:p>
        </w:tc>
      </w:tr>
    </w:tbl>
    <w:p w14:paraId="64FD8D8B"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i/>
          <w:iCs/>
          <w:sz w:val="20"/>
          <w:szCs w:val="20"/>
          <w:lang w:val="en-US" w:eastAsia="ru-RU"/>
        </w:rPr>
        <w:t>Notes:</w:t>
      </w:r>
      <w:r w:rsidRPr="000849BC">
        <w:rPr>
          <w:rFonts w:eastAsiaTheme="minorEastAsia" w:cs="Times New Roman"/>
          <w:sz w:val="20"/>
          <w:szCs w:val="20"/>
          <w:lang w:val="en-US" w:eastAsia="ru-RU"/>
        </w:rPr>
        <w:t xml:space="preserve"> All models include controls for sex and TIMSS residence area (suppressed in tables). Main values are </w:t>
      </w:r>
      <w:proofErr w:type="spellStart"/>
      <w:r w:rsidRPr="000849BC">
        <w:rPr>
          <w:rFonts w:eastAsiaTheme="minorEastAsia" w:cs="Times New Roman"/>
          <w:sz w:val="20"/>
          <w:szCs w:val="20"/>
          <w:lang w:val="en-US" w:eastAsia="ru-RU"/>
        </w:rPr>
        <w:t>logit</w:t>
      </w:r>
      <w:proofErr w:type="spellEnd"/>
      <w:r w:rsidRPr="000849BC">
        <w:rPr>
          <w:rFonts w:eastAsiaTheme="minorEastAsia" w:cs="Times New Roman"/>
          <w:sz w:val="20"/>
          <w:szCs w:val="20"/>
          <w:lang w:val="en-US" w:eastAsia="ru-RU"/>
        </w:rPr>
        <w:t xml:space="preserve"> coefficients. Standard errors provided in parentheses. </w:t>
      </w:r>
      <w:r w:rsidRPr="000849BC">
        <w:rPr>
          <w:rFonts w:eastAsiaTheme="minorEastAsia" w:cs="Times New Roman"/>
          <w:i/>
          <w:iCs/>
          <w:sz w:val="20"/>
          <w:szCs w:val="20"/>
          <w:lang w:val="en-US" w:eastAsia="ru-RU"/>
        </w:rPr>
        <w:t>Source:</w:t>
      </w:r>
      <w:r w:rsidRPr="000849BC">
        <w:rPr>
          <w:rFonts w:eastAsiaTheme="minorEastAsia" w:cs="Times New Roman"/>
          <w:sz w:val="20"/>
          <w:szCs w:val="20"/>
          <w:lang w:val="en-US" w:eastAsia="ru-RU"/>
        </w:rPr>
        <w:t xml:space="preserve"> </w:t>
      </w:r>
      <w:proofErr w:type="spellStart"/>
      <w:r w:rsidRPr="000849BC">
        <w:rPr>
          <w:rFonts w:eastAsiaTheme="minorEastAsia" w:cs="Times New Roman"/>
          <w:sz w:val="20"/>
          <w:szCs w:val="20"/>
          <w:lang w:val="en-US" w:eastAsia="ru-RU"/>
        </w:rPr>
        <w:t>TrEC</w:t>
      </w:r>
      <w:proofErr w:type="spellEnd"/>
      <w:r w:rsidRPr="000849BC">
        <w:rPr>
          <w:rFonts w:eastAsiaTheme="minorEastAsia" w:cs="Times New Roman"/>
          <w:sz w:val="20"/>
          <w:szCs w:val="20"/>
          <w:lang w:val="en-US" w:eastAsia="ru-RU"/>
        </w:rPr>
        <w:t xml:space="preserve">; own calculations.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proofErr w:type="gramStart"/>
      <w:r w:rsidRPr="000849BC">
        <w:rPr>
          <w:rFonts w:eastAsiaTheme="minorEastAsia" w:cs="Times New Roman"/>
          <w:i/>
          <w:iCs/>
          <w:sz w:val="20"/>
          <w:szCs w:val="20"/>
          <w:lang w:val="en-US" w:eastAsia="ru-RU"/>
        </w:rPr>
        <w:t>p</w:t>
      </w:r>
      <w:proofErr w:type="gramEnd"/>
      <w:r w:rsidRPr="000849BC">
        <w:rPr>
          <w:rFonts w:eastAsiaTheme="minorEastAsia" w:cs="Times New Roman"/>
          <w:sz w:val="20"/>
          <w:szCs w:val="20"/>
          <w:lang w:val="en-US" w:eastAsia="ru-RU"/>
        </w:rPr>
        <w:t xml:space="preserve"> &lt; 0.05,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r w:rsidRPr="000849BC">
        <w:rPr>
          <w:rFonts w:eastAsiaTheme="minorEastAsia" w:cs="Times New Roman"/>
          <w:i/>
          <w:iCs/>
          <w:sz w:val="20"/>
          <w:szCs w:val="20"/>
          <w:lang w:val="en-US" w:eastAsia="ru-RU"/>
        </w:rPr>
        <w:t>p</w:t>
      </w:r>
      <w:r w:rsidRPr="000849BC">
        <w:rPr>
          <w:rFonts w:eastAsiaTheme="minorEastAsia" w:cs="Times New Roman"/>
          <w:sz w:val="20"/>
          <w:szCs w:val="20"/>
          <w:lang w:val="en-US" w:eastAsia="ru-RU"/>
        </w:rPr>
        <w:t xml:space="preserve"> &lt; 0.01,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r w:rsidRPr="000849BC">
        <w:rPr>
          <w:rFonts w:eastAsiaTheme="minorEastAsia" w:cs="Times New Roman"/>
          <w:i/>
          <w:iCs/>
          <w:sz w:val="20"/>
          <w:szCs w:val="20"/>
          <w:lang w:val="en-US" w:eastAsia="ru-RU"/>
        </w:rPr>
        <w:t>p</w:t>
      </w:r>
      <w:r w:rsidRPr="000849BC">
        <w:rPr>
          <w:rFonts w:eastAsiaTheme="minorEastAsia" w:cs="Times New Roman"/>
          <w:sz w:val="20"/>
          <w:szCs w:val="20"/>
          <w:lang w:val="en-US" w:eastAsia="ru-RU"/>
        </w:rPr>
        <w:t xml:space="preserve"> &lt; 0.001</w:t>
      </w:r>
    </w:p>
    <w:p w14:paraId="05F15191" w14:textId="77777777" w:rsidR="000849BC" w:rsidRDefault="000849BC" w:rsidP="00C35151">
      <w:pPr>
        <w:ind w:firstLine="0"/>
        <w:rPr>
          <w:lang w:val="en-US"/>
        </w:rPr>
      </w:pPr>
    </w:p>
    <w:p w14:paraId="71F071E1" w14:textId="77777777" w:rsidR="000849BC" w:rsidRDefault="000849BC">
      <w:pPr>
        <w:spacing w:after="200" w:line="276" w:lineRule="auto"/>
        <w:ind w:firstLine="0"/>
        <w:jc w:val="left"/>
        <w:rPr>
          <w:rFonts w:eastAsiaTheme="minorEastAsia" w:cs="Times New Roman"/>
          <w:b/>
          <w:szCs w:val="24"/>
          <w:lang w:val="en-US" w:eastAsia="ru-RU"/>
        </w:rPr>
      </w:pPr>
      <w:r>
        <w:rPr>
          <w:rFonts w:eastAsiaTheme="minorEastAsia" w:cs="Times New Roman"/>
          <w:b/>
          <w:szCs w:val="24"/>
          <w:lang w:val="en-US" w:eastAsia="ru-RU"/>
        </w:rPr>
        <w:br w:type="page"/>
      </w:r>
    </w:p>
    <w:p w14:paraId="596FCC2B" w14:textId="69E42F1E" w:rsidR="000849BC" w:rsidRPr="000849BC" w:rsidRDefault="000849BC" w:rsidP="000849BC">
      <w:pPr>
        <w:keepNext/>
        <w:widowControl w:val="0"/>
        <w:autoSpaceDE w:val="0"/>
        <w:autoSpaceDN w:val="0"/>
        <w:adjustRightInd w:val="0"/>
        <w:spacing w:line="240" w:lineRule="auto"/>
        <w:ind w:firstLine="0"/>
        <w:jc w:val="left"/>
        <w:rPr>
          <w:rFonts w:eastAsiaTheme="minorEastAsia" w:cs="Times New Roman"/>
          <w:b/>
          <w:szCs w:val="24"/>
          <w:lang w:val="en-US" w:eastAsia="ru-RU"/>
        </w:rPr>
      </w:pPr>
      <w:r w:rsidRPr="000849BC">
        <w:rPr>
          <w:rFonts w:eastAsiaTheme="minorEastAsia" w:cs="Times New Roman"/>
          <w:b/>
          <w:szCs w:val="24"/>
          <w:lang w:val="en-US" w:eastAsia="ru-RU"/>
        </w:rPr>
        <w:lastRenderedPageBreak/>
        <w:t>Table A.6. Multinomial regression models of aspired educational pathways with interaction term (vocational pathway as baseline outcome)</w:t>
      </w:r>
    </w:p>
    <w:p w14:paraId="30F863F1" w14:textId="77777777" w:rsidR="000849BC" w:rsidRPr="000849BC" w:rsidRDefault="000849BC" w:rsidP="000849BC">
      <w:pPr>
        <w:keepNext/>
        <w:widowControl w:val="0"/>
        <w:autoSpaceDE w:val="0"/>
        <w:autoSpaceDN w:val="0"/>
        <w:adjustRightInd w:val="0"/>
        <w:spacing w:line="240" w:lineRule="auto"/>
        <w:ind w:firstLine="0"/>
        <w:jc w:val="left"/>
        <w:rPr>
          <w:rFonts w:eastAsiaTheme="minorEastAsia" w:cs="Times New Roman"/>
          <w:sz w:val="20"/>
          <w:szCs w:val="20"/>
          <w:lang w:val="en-US" w:eastAsia="ru-RU"/>
        </w:rPr>
      </w:pPr>
    </w:p>
    <w:tbl>
      <w:tblPr>
        <w:tblW w:w="5000" w:type="pct"/>
        <w:tblLayout w:type="fixed"/>
        <w:tblLook w:val="0000" w:firstRow="0" w:lastRow="0" w:firstColumn="0" w:lastColumn="0" w:noHBand="0" w:noVBand="0"/>
      </w:tblPr>
      <w:tblGrid>
        <w:gridCol w:w="1628"/>
        <w:gridCol w:w="1277"/>
        <w:gridCol w:w="1277"/>
        <w:gridCol w:w="1276"/>
        <w:gridCol w:w="1276"/>
        <w:gridCol w:w="1276"/>
        <w:gridCol w:w="1276"/>
      </w:tblGrid>
      <w:tr w:rsidR="000849BC" w:rsidRPr="000849BC" w14:paraId="21280C82" w14:textId="77777777" w:rsidTr="00D17B7B">
        <w:tc>
          <w:tcPr>
            <w:tcW w:w="1688" w:type="dxa"/>
            <w:tcBorders>
              <w:top w:val="single" w:sz="4" w:space="0" w:color="auto"/>
              <w:left w:val="nil"/>
              <w:bottom w:val="nil"/>
              <w:right w:val="nil"/>
            </w:tcBorders>
          </w:tcPr>
          <w:p w14:paraId="441ED19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1322" w:type="dxa"/>
            <w:tcBorders>
              <w:top w:val="single" w:sz="4" w:space="0" w:color="auto"/>
              <w:left w:val="nil"/>
              <w:bottom w:val="nil"/>
              <w:right w:val="nil"/>
            </w:tcBorders>
          </w:tcPr>
          <w:p w14:paraId="6D5C75A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w:t>
            </w:r>
          </w:p>
        </w:tc>
        <w:tc>
          <w:tcPr>
            <w:tcW w:w="1322" w:type="dxa"/>
            <w:tcBorders>
              <w:top w:val="single" w:sz="4" w:space="0" w:color="auto"/>
              <w:left w:val="nil"/>
              <w:bottom w:val="nil"/>
              <w:right w:val="nil"/>
            </w:tcBorders>
          </w:tcPr>
          <w:p w14:paraId="0F1AB76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w:t>
            </w:r>
          </w:p>
        </w:tc>
        <w:tc>
          <w:tcPr>
            <w:tcW w:w="1322" w:type="dxa"/>
            <w:tcBorders>
              <w:top w:val="single" w:sz="4" w:space="0" w:color="auto"/>
              <w:left w:val="nil"/>
              <w:bottom w:val="nil"/>
              <w:right w:val="nil"/>
            </w:tcBorders>
          </w:tcPr>
          <w:p w14:paraId="0EF9B5C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(3)</w:t>
            </w:r>
          </w:p>
        </w:tc>
        <w:tc>
          <w:tcPr>
            <w:tcW w:w="1322" w:type="dxa"/>
            <w:tcBorders>
              <w:top w:val="single" w:sz="4" w:space="0" w:color="auto"/>
              <w:left w:val="nil"/>
              <w:bottom w:val="nil"/>
              <w:right w:val="nil"/>
            </w:tcBorders>
          </w:tcPr>
          <w:p w14:paraId="1CBEFC8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w:t>
            </w:r>
          </w:p>
        </w:tc>
        <w:tc>
          <w:tcPr>
            <w:tcW w:w="1322" w:type="dxa"/>
            <w:tcBorders>
              <w:top w:val="single" w:sz="4" w:space="0" w:color="auto"/>
              <w:left w:val="nil"/>
              <w:bottom w:val="nil"/>
              <w:right w:val="nil"/>
            </w:tcBorders>
          </w:tcPr>
          <w:p w14:paraId="65EA256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(5)</w:t>
            </w:r>
          </w:p>
        </w:tc>
        <w:tc>
          <w:tcPr>
            <w:tcW w:w="1322" w:type="dxa"/>
            <w:tcBorders>
              <w:top w:val="single" w:sz="4" w:space="0" w:color="auto"/>
              <w:left w:val="nil"/>
              <w:bottom w:val="nil"/>
              <w:right w:val="nil"/>
            </w:tcBorders>
          </w:tcPr>
          <w:p w14:paraId="62A9A4E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(6)</w:t>
            </w:r>
          </w:p>
        </w:tc>
      </w:tr>
      <w:tr w:rsidR="000849BC" w:rsidRPr="000849BC" w14:paraId="1A38D36A" w14:textId="77777777" w:rsidTr="00D17B7B">
        <w:tc>
          <w:tcPr>
            <w:tcW w:w="1688" w:type="dxa"/>
            <w:tcBorders>
              <w:top w:val="nil"/>
              <w:left w:val="nil"/>
              <w:bottom w:val="nil"/>
              <w:right w:val="nil"/>
            </w:tcBorders>
          </w:tcPr>
          <w:p w14:paraId="1874A1D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1322" w:type="dxa"/>
            <w:tcBorders>
              <w:top w:val="nil"/>
              <w:left w:val="nil"/>
              <w:bottom w:val="nil"/>
              <w:right w:val="nil"/>
            </w:tcBorders>
          </w:tcPr>
          <w:p w14:paraId="4D72251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TIMSS math score </w:t>
            </w:r>
          </w:p>
        </w:tc>
        <w:tc>
          <w:tcPr>
            <w:tcW w:w="1322" w:type="dxa"/>
            <w:tcBorders>
              <w:top w:val="nil"/>
              <w:left w:val="nil"/>
              <w:bottom w:val="nil"/>
              <w:right w:val="nil"/>
            </w:tcBorders>
          </w:tcPr>
          <w:p w14:paraId="2F06286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TIMSS science score </w:t>
            </w:r>
          </w:p>
        </w:tc>
        <w:tc>
          <w:tcPr>
            <w:tcW w:w="1322" w:type="dxa"/>
            <w:tcBorders>
              <w:top w:val="nil"/>
              <w:left w:val="nil"/>
              <w:bottom w:val="nil"/>
              <w:right w:val="nil"/>
            </w:tcBorders>
          </w:tcPr>
          <w:p w14:paraId="1A495FC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PISA math score </w:t>
            </w:r>
          </w:p>
        </w:tc>
        <w:tc>
          <w:tcPr>
            <w:tcW w:w="1322" w:type="dxa"/>
            <w:tcBorders>
              <w:top w:val="nil"/>
              <w:left w:val="nil"/>
              <w:bottom w:val="nil"/>
              <w:right w:val="nil"/>
            </w:tcBorders>
          </w:tcPr>
          <w:p w14:paraId="0BEBECA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PISA reading score </w:t>
            </w:r>
          </w:p>
        </w:tc>
        <w:tc>
          <w:tcPr>
            <w:tcW w:w="1322" w:type="dxa"/>
            <w:tcBorders>
              <w:top w:val="nil"/>
              <w:left w:val="nil"/>
              <w:bottom w:val="nil"/>
              <w:right w:val="nil"/>
            </w:tcBorders>
          </w:tcPr>
          <w:p w14:paraId="74E34FB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PISA science score </w:t>
            </w:r>
          </w:p>
        </w:tc>
        <w:tc>
          <w:tcPr>
            <w:tcW w:w="1322" w:type="dxa"/>
            <w:tcBorders>
              <w:top w:val="nil"/>
              <w:left w:val="nil"/>
              <w:bottom w:val="nil"/>
              <w:right w:val="nil"/>
            </w:tcBorders>
          </w:tcPr>
          <w:p w14:paraId="4F76C38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Composite ability measure </w:t>
            </w:r>
          </w:p>
        </w:tc>
      </w:tr>
      <w:tr w:rsidR="000849BC" w:rsidRPr="000849BC" w14:paraId="2A6ABD78" w14:textId="77777777" w:rsidTr="00D17B7B">
        <w:tc>
          <w:tcPr>
            <w:tcW w:w="9620" w:type="dxa"/>
            <w:gridSpan w:val="7"/>
            <w:tcBorders>
              <w:top w:val="single" w:sz="4" w:space="0" w:color="auto"/>
              <w:left w:val="nil"/>
              <w:bottom w:val="nil"/>
              <w:right w:val="nil"/>
            </w:tcBorders>
          </w:tcPr>
          <w:p w14:paraId="11133F2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Academic pathway</w:t>
            </w:r>
          </w:p>
        </w:tc>
      </w:tr>
      <w:tr w:rsidR="000849BC" w:rsidRPr="000849BC" w14:paraId="7872E582" w14:textId="77777777" w:rsidTr="00D17B7B">
        <w:tc>
          <w:tcPr>
            <w:tcW w:w="1688" w:type="dxa"/>
            <w:tcBorders>
              <w:top w:val="nil"/>
              <w:left w:val="nil"/>
              <w:bottom w:val="nil"/>
              <w:right w:val="nil"/>
            </w:tcBorders>
          </w:tcPr>
          <w:p w14:paraId="5BF3799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1322" w:type="dxa"/>
            <w:tcBorders>
              <w:top w:val="nil"/>
              <w:left w:val="nil"/>
              <w:bottom w:val="nil"/>
              <w:right w:val="nil"/>
            </w:tcBorders>
          </w:tcPr>
          <w:p w14:paraId="268B626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1.575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(0.102)</w:t>
            </w:r>
          </w:p>
        </w:tc>
        <w:tc>
          <w:tcPr>
            <w:tcW w:w="1322" w:type="dxa"/>
            <w:tcBorders>
              <w:top w:val="nil"/>
              <w:left w:val="nil"/>
              <w:bottom w:val="nil"/>
              <w:right w:val="nil"/>
            </w:tcBorders>
          </w:tcPr>
          <w:p w14:paraId="4C4AE22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1.573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(0.099)</w:t>
            </w:r>
          </w:p>
        </w:tc>
        <w:tc>
          <w:tcPr>
            <w:tcW w:w="1322" w:type="dxa"/>
            <w:tcBorders>
              <w:top w:val="nil"/>
              <w:left w:val="nil"/>
              <w:bottom w:val="nil"/>
              <w:right w:val="nil"/>
            </w:tcBorders>
          </w:tcPr>
          <w:p w14:paraId="6FD20E9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1.363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(0.105)</w:t>
            </w:r>
          </w:p>
        </w:tc>
        <w:tc>
          <w:tcPr>
            <w:tcW w:w="1322" w:type="dxa"/>
            <w:tcBorders>
              <w:top w:val="nil"/>
              <w:left w:val="nil"/>
              <w:bottom w:val="nil"/>
              <w:right w:val="nil"/>
            </w:tcBorders>
          </w:tcPr>
          <w:p w14:paraId="6886815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1.432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(0.108)</w:t>
            </w:r>
          </w:p>
        </w:tc>
        <w:tc>
          <w:tcPr>
            <w:tcW w:w="1322" w:type="dxa"/>
            <w:tcBorders>
              <w:top w:val="nil"/>
              <w:left w:val="nil"/>
              <w:bottom w:val="nil"/>
              <w:right w:val="nil"/>
            </w:tcBorders>
          </w:tcPr>
          <w:p w14:paraId="0B1C88D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1.417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(0.105)</w:t>
            </w:r>
          </w:p>
        </w:tc>
        <w:tc>
          <w:tcPr>
            <w:tcW w:w="1322" w:type="dxa"/>
            <w:tcBorders>
              <w:top w:val="nil"/>
              <w:left w:val="nil"/>
              <w:bottom w:val="nil"/>
              <w:right w:val="nil"/>
            </w:tcBorders>
          </w:tcPr>
          <w:p w14:paraId="60BAC70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1.388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(0.110)</w:t>
            </w:r>
          </w:p>
        </w:tc>
      </w:tr>
      <w:tr w:rsidR="000849BC" w:rsidRPr="000849BC" w14:paraId="215CB7F2" w14:textId="77777777" w:rsidTr="00D17B7B">
        <w:tc>
          <w:tcPr>
            <w:tcW w:w="1688" w:type="dxa"/>
            <w:tcBorders>
              <w:top w:val="nil"/>
              <w:left w:val="nil"/>
              <w:bottom w:val="nil"/>
              <w:right w:val="nil"/>
            </w:tcBorders>
          </w:tcPr>
          <w:p w14:paraId="6ADB975F"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w:t>
            </w:r>
          </w:p>
        </w:tc>
        <w:tc>
          <w:tcPr>
            <w:tcW w:w="1322" w:type="dxa"/>
            <w:tcBorders>
              <w:top w:val="nil"/>
              <w:left w:val="nil"/>
              <w:bottom w:val="nil"/>
              <w:right w:val="nil"/>
            </w:tcBorders>
          </w:tcPr>
          <w:p w14:paraId="054B0DF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0.868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(0.056)</w:t>
            </w:r>
          </w:p>
        </w:tc>
        <w:tc>
          <w:tcPr>
            <w:tcW w:w="1322" w:type="dxa"/>
            <w:tcBorders>
              <w:top w:val="nil"/>
              <w:left w:val="nil"/>
              <w:bottom w:val="nil"/>
              <w:right w:val="nil"/>
            </w:tcBorders>
          </w:tcPr>
          <w:p w14:paraId="2B63EA0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0.745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(0.054)</w:t>
            </w:r>
          </w:p>
        </w:tc>
        <w:tc>
          <w:tcPr>
            <w:tcW w:w="1322" w:type="dxa"/>
            <w:tcBorders>
              <w:top w:val="nil"/>
              <w:left w:val="nil"/>
              <w:bottom w:val="nil"/>
              <w:right w:val="nil"/>
            </w:tcBorders>
          </w:tcPr>
          <w:p w14:paraId="331660A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1.083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(0.066)</w:t>
            </w:r>
          </w:p>
        </w:tc>
        <w:tc>
          <w:tcPr>
            <w:tcW w:w="1322" w:type="dxa"/>
            <w:tcBorders>
              <w:top w:val="nil"/>
              <w:left w:val="nil"/>
              <w:bottom w:val="nil"/>
              <w:right w:val="nil"/>
            </w:tcBorders>
          </w:tcPr>
          <w:p w14:paraId="7C8659B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1.070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(0.066)</w:t>
            </w:r>
          </w:p>
        </w:tc>
        <w:tc>
          <w:tcPr>
            <w:tcW w:w="1322" w:type="dxa"/>
            <w:tcBorders>
              <w:top w:val="nil"/>
              <w:left w:val="nil"/>
              <w:bottom w:val="nil"/>
              <w:right w:val="nil"/>
            </w:tcBorders>
          </w:tcPr>
          <w:p w14:paraId="492C3E5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0.943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(0.063)</w:t>
            </w:r>
          </w:p>
        </w:tc>
        <w:tc>
          <w:tcPr>
            <w:tcW w:w="1322" w:type="dxa"/>
            <w:tcBorders>
              <w:top w:val="nil"/>
              <w:left w:val="nil"/>
              <w:bottom w:val="nil"/>
              <w:right w:val="nil"/>
            </w:tcBorders>
          </w:tcPr>
          <w:p w14:paraId="41602AF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1.124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(0.066)</w:t>
            </w:r>
          </w:p>
        </w:tc>
      </w:tr>
      <w:tr w:rsidR="000849BC" w:rsidRPr="000849BC" w14:paraId="0CC43438" w14:textId="77777777" w:rsidTr="00D17B7B">
        <w:tc>
          <w:tcPr>
            <w:tcW w:w="1688" w:type="dxa"/>
            <w:tcBorders>
              <w:top w:val="nil"/>
              <w:left w:val="nil"/>
              <w:bottom w:val="nil"/>
              <w:right w:val="nil"/>
            </w:tcBorders>
          </w:tcPr>
          <w:p w14:paraId="7D098891"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Ability measure</w:t>
            </w:r>
          </w:p>
        </w:tc>
        <w:tc>
          <w:tcPr>
            <w:tcW w:w="1322" w:type="dxa"/>
            <w:tcBorders>
              <w:top w:val="nil"/>
              <w:left w:val="nil"/>
              <w:bottom w:val="nil"/>
              <w:right w:val="nil"/>
            </w:tcBorders>
          </w:tcPr>
          <w:p w14:paraId="71C911B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0.445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(0.106)</w:t>
            </w:r>
          </w:p>
        </w:tc>
        <w:tc>
          <w:tcPr>
            <w:tcW w:w="1322" w:type="dxa"/>
            <w:tcBorders>
              <w:top w:val="nil"/>
              <w:left w:val="nil"/>
              <w:bottom w:val="nil"/>
              <w:right w:val="nil"/>
            </w:tcBorders>
          </w:tcPr>
          <w:p w14:paraId="49B9A10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0.529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(0.103)</w:t>
            </w:r>
          </w:p>
        </w:tc>
        <w:tc>
          <w:tcPr>
            <w:tcW w:w="1322" w:type="dxa"/>
            <w:tcBorders>
              <w:top w:val="nil"/>
              <w:left w:val="nil"/>
              <w:bottom w:val="nil"/>
              <w:right w:val="nil"/>
            </w:tcBorders>
          </w:tcPr>
          <w:p w14:paraId="716353A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0.153</w:t>
            </w:r>
            <w:r w:rsidRPr="000849BC">
              <w:rPr>
                <w:rFonts w:eastAsiaTheme="minorEastAsia" w:cs="Times New Roman"/>
                <w:sz w:val="20"/>
                <w:szCs w:val="20"/>
                <w:lang w:val="en-US" w:eastAsia="ru-RU"/>
              </w:rPr>
              <w:br/>
              <w:t>(0.113)</w:t>
            </w:r>
          </w:p>
        </w:tc>
        <w:tc>
          <w:tcPr>
            <w:tcW w:w="1322" w:type="dxa"/>
            <w:tcBorders>
              <w:top w:val="nil"/>
              <w:left w:val="nil"/>
              <w:bottom w:val="nil"/>
              <w:right w:val="nil"/>
            </w:tcBorders>
          </w:tcPr>
          <w:p w14:paraId="0A8CD36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0.225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(0.112)</w:t>
            </w:r>
          </w:p>
        </w:tc>
        <w:tc>
          <w:tcPr>
            <w:tcW w:w="1322" w:type="dxa"/>
            <w:tcBorders>
              <w:top w:val="nil"/>
              <w:left w:val="nil"/>
              <w:bottom w:val="nil"/>
              <w:right w:val="nil"/>
            </w:tcBorders>
          </w:tcPr>
          <w:p w14:paraId="579811C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0.272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(0.110)</w:t>
            </w:r>
          </w:p>
        </w:tc>
        <w:tc>
          <w:tcPr>
            <w:tcW w:w="1322" w:type="dxa"/>
            <w:tcBorders>
              <w:top w:val="nil"/>
              <w:left w:val="nil"/>
              <w:bottom w:val="nil"/>
              <w:right w:val="nil"/>
            </w:tcBorders>
          </w:tcPr>
          <w:p w14:paraId="7FEEF1E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0.348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(0.118)</w:t>
            </w:r>
          </w:p>
        </w:tc>
      </w:tr>
      <w:tr w:rsidR="000849BC" w:rsidRPr="000849BC" w14:paraId="5EE1988F" w14:textId="77777777" w:rsidTr="00D17B7B">
        <w:tc>
          <w:tcPr>
            <w:tcW w:w="1688" w:type="dxa"/>
            <w:tcBorders>
              <w:top w:val="nil"/>
              <w:left w:val="nil"/>
              <w:bottom w:val="nil"/>
              <w:right w:val="nil"/>
            </w:tcBorders>
          </w:tcPr>
          <w:p w14:paraId="5E140C74"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1322" w:type="dxa"/>
            <w:tcBorders>
              <w:top w:val="nil"/>
              <w:left w:val="nil"/>
              <w:bottom w:val="nil"/>
              <w:right w:val="nil"/>
            </w:tcBorders>
          </w:tcPr>
          <w:p w14:paraId="422E9C4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0.360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(0.080)</w:t>
            </w:r>
          </w:p>
        </w:tc>
        <w:tc>
          <w:tcPr>
            <w:tcW w:w="1322" w:type="dxa"/>
            <w:tcBorders>
              <w:top w:val="nil"/>
              <w:left w:val="nil"/>
              <w:bottom w:val="nil"/>
              <w:right w:val="nil"/>
            </w:tcBorders>
          </w:tcPr>
          <w:p w14:paraId="112D227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0.281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(0.079)</w:t>
            </w:r>
          </w:p>
        </w:tc>
        <w:tc>
          <w:tcPr>
            <w:tcW w:w="1322" w:type="dxa"/>
            <w:tcBorders>
              <w:top w:val="nil"/>
              <w:left w:val="nil"/>
              <w:bottom w:val="nil"/>
              <w:right w:val="nil"/>
            </w:tcBorders>
          </w:tcPr>
          <w:p w14:paraId="0B90C3B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0.441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(0.086)</w:t>
            </w:r>
          </w:p>
        </w:tc>
        <w:tc>
          <w:tcPr>
            <w:tcW w:w="1322" w:type="dxa"/>
            <w:tcBorders>
              <w:top w:val="nil"/>
              <w:left w:val="nil"/>
              <w:bottom w:val="nil"/>
              <w:right w:val="nil"/>
            </w:tcBorders>
          </w:tcPr>
          <w:p w14:paraId="4BB1270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0.804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(0.092)</w:t>
            </w:r>
          </w:p>
        </w:tc>
        <w:tc>
          <w:tcPr>
            <w:tcW w:w="1322" w:type="dxa"/>
            <w:tcBorders>
              <w:top w:val="nil"/>
              <w:left w:val="nil"/>
              <w:bottom w:val="nil"/>
              <w:right w:val="nil"/>
            </w:tcBorders>
          </w:tcPr>
          <w:p w14:paraId="663453A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0.433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(0.085)</w:t>
            </w:r>
          </w:p>
        </w:tc>
        <w:tc>
          <w:tcPr>
            <w:tcW w:w="1322" w:type="dxa"/>
            <w:tcBorders>
              <w:top w:val="nil"/>
              <w:left w:val="nil"/>
              <w:bottom w:val="nil"/>
              <w:right w:val="nil"/>
            </w:tcBorders>
          </w:tcPr>
          <w:p w14:paraId="0079E20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0.612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(0.089)</w:t>
            </w:r>
          </w:p>
        </w:tc>
      </w:tr>
      <w:tr w:rsidR="000849BC" w:rsidRPr="000849BC" w14:paraId="05865739" w14:textId="77777777" w:rsidTr="00D17B7B">
        <w:tc>
          <w:tcPr>
            <w:tcW w:w="9620" w:type="dxa"/>
            <w:gridSpan w:val="7"/>
            <w:tcBorders>
              <w:top w:val="single" w:sz="4" w:space="0" w:color="auto"/>
              <w:left w:val="nil"/>
              <w:bottom w:val="nil"/>
            </w:tcBorders>
          </w:tcPr>
          <w:p w14:paraId="0FA69A9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Pseudo academic pathway</w:t>
            </w:r>
          </w:p>
        </w:tc>
      </w:tr>
      <w:tr w:rsidR="000849BC" w:rsidRPr="000849BC" w14:paraId="23F0ADAB" w14:textId="77777777" w:rsidTr="00D17B7B">
        <w:tc>
          <w:tcPr>
            <w:tcW w:w="1688" w:type="dxa"/>
            <w:tcBorders>
              <w:top w:val="nil"/>
              <w:left w:val="nil"/>
              <w:bottom w:val="nil"/>
              <w:right w:val="nil"/>
            </w:tcBorders>
          </w:tcPr>
          <w:p w14:paraId="0DCCE58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1322" w:type="dxa"/>
            <w:tcBorders>
              <w:top w:val="nil"/>
              <w:left w:val="nil"/>
              <w:bottom w:val="nil"/>
              <w:right w:val="nil"/>
            </w:tcBorders>
          </w:tcPr>
          <w:p w14:paraId="088EFC6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0.916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(0.123)</w:t>
            </w:r>
          </w:p>
        </w:tc>
        <w:tc>
          <w:tcPr>
            <w:tcW w:w="1322" w:type="dxa"/>
            <w:tcBorders>
              <w:top w:val="nil"/>
              <w:left w:val="nil"/>
              <w:bottom w:val="nil"/>
              <w:right w:val="nil"/>
            </w:tcBorders>
          </w:tcPr>
          <w:p w14:paraId="707605B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0.895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(0.120)</w:t>
            </w:r>
          </w:p>
        </w:tc>
        <w:tc>
          <w:tcPr>
            <w:tcW w:w="1322" w:type="dxa"/>
            <w:tcBorders>
              <w:top w:val="nil"/>
              <w:left w:val="nil"/>
              <w:bottom w:val="nil"/>
              <w:right w:val="nil"/>
            </w:tcBorders>
          </w:tcPr>
          <w:p w14:paraId="7AC6E2F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0.751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(0.128)</w:t>
            </w:r>
          </w:p>
        </w:tc>
        <w:tc>
          <w:tcPr>
            <w:tcW w:w="1322" w:type="dxa"/>
            <w:tcBorders>
              <w:top w:val="nil"/>
              <w:left w:val="nil"/>
              <w:bottom w:val="nil"/>
              <w:right w:val="nil"/>
            </w:tcBorders>
          </w:tcPr>
          <w:p w14:paraId="3AFE570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0.803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(0.130)</w:t>
            </w:r>
          </w:p>
        </w:tc>
        <w:tc>
          <w:tcPr>
            <w:tcW w:w="1322" w:type="dxa"/>
            <w:tcBorders>
              <w:top w:val="nil"/>
              <w:left w:val="nil"/>
              <w:bottom w:val="nil"/>
              <w:right w:val="nil"/>
            </w:tcBorders>
          </w:tcPr>
          <w:p w14:paraId="4A5D890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0.794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(0.127)</w:t>
            </w:r>
          </w:p>
        </w:tc>
        <w:tc>
          <w:tcPr>
            <w:tcW w:w="1322" w:type="dxa"/>
            <w:tcBorders>
              <w:top w:val="nil"/>
              <w:left w:val="nil"/>
              <w:bottom w:val="nil"/>
              <w:right w:val="nil"/>
            </w:tcBorders>
          </w:tcPr>
          <w:p w14:paraId="015E911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0.811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(0.132)</w:t>
            </w:r>
          </w:p>
        </w:tc>
      </w:tr>
      <w:tr w:rsidR="000849BC" w:rsidRPr="000849BC" w14:paraId="0E9731D3" w14:textId="77777777" w:rsidTr="00D17B7B">
        <w:tc>
          <w:tcPr>
            <w:tcW w:w="1688" w:type="dxa"/>
            <w:tcBorders>
              <w:top w:val="nil"/>
              <w:left w:val="nil"/>
              <w:bottom w:val="nil"/>
              <w:right w:val="nil"/>
            </w:tcBorders>
          </w:tcPr>
          <w:p w14:paraId="6343473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w:t>
            </w:r>
          </w:p>
        </w:tc>
        <w:tc>
          <w:tcPr>
            <w:tcW w:w="1322" w:type="dxa"/>
            <w:tcBorders>
              <w:top w:val="nil"/>
              <w:left w:val="nil"/>
              <w:bottom w:val="nil"/>
              <w:right w:val="nil"/>
            </w:tcBorders>
          </w:tcPr>
          <w:p w14:paraId="270F38D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0.311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(0.067)</w:t>
            </w:r>
          </w:p>
        </w:tc>
        <w:tc>
          <w:tcPr>
            <w:tcW w:w="1322" w:type="dxa"/>
            <w:tcBorders>
              <w:top w:val="nil"/>
              <w:left w:val="nil"/>
              <w:bottom w:val="nil"/>
              <w:right w:val="nil"/>
            </w:tcBorders>
          </w:tcPr>
          <w:p w14:paraId="0E04996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0.320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(0.064)</w:t>
            </w:r>
          </w:p>
        </w:tc>
        <w:tc>
          <w:tcPr>
            <w:tcW w:w="1322" w:type="dxa"/>
            <w:tcBorders>
              <w:top w:val="nil"/>
              <w:left w:val="nil"/>
              <w:bottom w:val="nil"/>
              <w:right w:val="nil"/>
            </w:tcBorders>
          </w:tcPr>
          <w:p w14:paraId="617CC8B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0.417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(0.076)</w:t>
            </w:r>
          </w:p>
        </w:tc>
        <w:tc>
          <w:tcPr>
            <w:tcW w:w="1322" w:type="dxa"/>
            <w:tcBorders>
              <w:top w:val="nil"/>
              <w:left w:val="nil"/>
              <w:bottom w:val="nil"/>
              <w:right w:val="nil"/>
            </w:tcBorders>
          </w:tcPr>
          <w:p w14:paraId="0B2D3AA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0.470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(0.076)</w:t>
            </w:r>
          </w:p>
        </w:tc>
        <w:tc>
          <w:tcPr>
            <w:tcW w:w="1322" w:type="dxa"/>
            <w:tcBorders>
              <w:top w:val="nil"/>
              <w:left w:val="nil"/>
              <w:bottom w:val="nil"/>
              <w:right w:val="nil"/>
            </w:tcBorders>
          </w:tcPr>
          <w:p w14:paraId="6130ADA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0.397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(0.074)</w:t>
            </w:r>
          </w:p>
        </w:tc>
        <w:tc>
          <w:tcPr>
            <w:tcW w:w="1322" w:type="dxa"/>
            <w:tcBorders>
              <w:top w:val="nil"/>
              <w:left w:val="nil"/>
              <w:bottom w:val="nil"/>
              <w:right w:val="nil"/>
            </w:tcBorders>
          </w:tcPr>
          <w:p w14:paraId="2383B3D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0.464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(0.075)</w:t>
            </w:r>
          </w:p>
        </w:tc>
      </w:tr>
      <w:tr w:rsidR="000849BC" w:rsidRPr="000849BC" w14:paraId="2AB9A980" w14:textId="77777777" w:rsidTr="00D17B7B">
        <w:tc>
          <w:tcPr>
            <w:tcW w:w="1688" w:type="dxa"/>
            <w:tcBorders>
              <w:top w:val="nil"/>
              <w:left w:val="nil"/>
              <w:bottom w:val="nil"/>
              <w:right w:val="nil"/>
            </w:tcBorders>
          </w:tcPr>
          <w:p w14:paraId="595F22A6"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Ability measure</w:t>
            </w:r>
          </w:p>
        </w:tc>
        <w:tc>
          <w:tcPr>
            <w:tcW w:w="1322" w:type="dxa"/>
            <w:tcBorders>
              <w:top w:val="nil"/>
              <w:left w:val="nil"/>
              <w:bottom w:val="nil"/>
              <w:right w:val="nil"/>
            </w:tcBorders>
          </w:tcPr>
          <w:p w14:paraId="31C1209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0.236</w:t>
            </w:r>
            <w:r w:rsidRPr="000849BC">
              <w:rPr>
                <w:rFonts w:eastAsiaTheme="minorEastAsia" w:cs="Times New Roman"/>
                <w:sz w:val="20"/>
                <w:szCs w:val="20"/>
                <w:lang w:val="en-US" w:eastAsia="ru-RU"/>
              </w:rPr>
              <w:br/>
              <w:t>(0.122)</w:t>
            </w:r>
          </w:p>
        </w:tc>
        <w:tc>
          <w:tcPr>
            <w:tcW w:w="1322" w:type="dxa"/>
            <w:tcBorders>
              <w:top w:val="nil"/>
              <w:left w:val="nil"/>
              <w:bottom w:val="nil"/>
              <w:right w:val="nil"/>
            </w:tcBorders>
          </w:tcPr>
          <w:p w14:paraId="590BCBA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0.175</w:t>
            </w:r>
            <w:r w:rsidRPr="000849BC">
              <w:rPr>
                <w:rFonts w:eastAsiaTheme="minorEastAsia" w:cs="Times New Roman"/>
                <w:sz w:val="20"/>
                <w:szCs w:val="20"/>
                <w:lang w:val="en-US" w:eastAsia="ru-RU"/>
              </w:rPr>
              <w:br/>
              <w:t>(0.119)</w:t>
            </w:r>
          </w:p>
        </w:tc>
        <w:tc>
          <w:tcPr>
            <w:tcW w:w="1322" w:type="dxa"/>
            <w:tcBorders>
              <w:top w:val="nil"/>
              <w:left w:val="nil"/>
              <w:bottom w:val="nil"/>
              <w:right w:val="nil"/>
            </w:tcBorders>
          </w:tcPr>
          <w:p w14:paraId="349058C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–0.066</w:t>
            </w:r>
            <w:r w:rsidRPr="000849BC">
              <w:rPr>
                <w:rFonts w:eastAsiaTheme="minorEastAsia" w:cs="Times New Roman"/>
                <w:sz w:val="20"/>
                <w:szCs w:val="20"/>
                <w:lang w:val="en-US" w:eastAsia="ru-RU"/>
              </w:rPr>
              <w:br/>
              <w:t>(0.129)</w:t>
            </w:r>
          </w:p>
        </w:tc>
        <w:tc>
          <w:tcPr>
            <w:tcW w:w="1322" w:type="dxa"/>
            <w:tcBorders>
              <w:top w:val="nil"/>
              <w:left w:val="nil"/>
              <w:bottom w:val="nil"/>
              <w:right w:val="nil"/>
            </w:tcBorders>
          </w:tcPr>
          <w:p w14:paraId="20AA89F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0.013</w:t>
            </w:r>
            <w:r w:rsidRPr="000849BC">
              <w:rPr>
                <w:rFonts w:eastAsiaTheme="minorEastAsia" w:cs="Times New Roman"/>
                <w:sz w:val="20"/>
                <w:szCs w:val="20"/>
                <w:lang w:val="en-US" w:eastAsia="ru-RU"/>
              </w:rPr>
              <w:br/>
              <w:t>(0.127)</w:t>
            </w:r>
          </w:p>
        </w:tc>
        <w:tc>
          <w:tcPr>
            <w:tcW w:w="1322" w:type="dxa"/>
            <w:tcBorders>
              <w:top w:val="nil"/>
              <w:left w:val="nil"/>
              <w:bottom w:val="nil"/>
              <w:right w:val="nil"/>
            </w:tcBorders>
          </w:tcPr>
          <w:p w14:paraId="497C4B2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0.006</w:t>
            </w:r>
            <w:r w:rsidRPr="000849BC">
              <w:rPr>
                <w:rFonts w:eastAsiaTheme="minorEastAsia" w:cs="Times New Roman"/>
                <w:sz w:val="20"/>
                <w:szCs w:val="20"/>
                <w:lang w:val="en-US" w:eastAsia="ru-RU"/>
              </w:rPr>
              <w:br/>
              <w:t>(0.127)</w:t>
            </w:r>
          </w:p>
        </w:tc>
        <w:tc>
          <w:tcPr>
            <w:tcW w:w="1322" w:type="dxa"/>
            <w:tcBorders>
              <w:top w:val="nil"/>
              <w:left w:val="nil"/>
              <w:bottom w:val="nil"/>
              <w:right w:val="nil"/>
            </w:tcBorders>
          </w:tcPr>
          <w:p w14:paraId="405C29B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0.086</w:t>
            </w:r>
            <w:r w:rsidRPr="000849BC">
              <w:rPr>
                <w:rFonts w:eastAsiaTheme="minorEastAsia" w:cs="Times New Roman"/>
                <w:sz w:val="20"/>
                <w:szCs w:val="20"/>
                <w:lang w:val="en-US" w:eastAsia="ru-RU"/>
              </w:rPr>
              <w:br/>
              <w:t>(0.132)</w:t>
            </w:r>
          </w:p>
        </w:tc>
      </w:tr>
      <w:tr w:rsidR="000849BC" w:rsidRPr="000849BC" w14:paraId="49A8B669" w14:textId="77777777" w:rsidTr="00D17B7B">
        <w:tc>
          <w:tcPr>
            <w:tcW w:w="1688" w:type="dxa"/>
            <w:tcBorders>
              <w:top w:val="nil"/>
              <w:left w:val="nil"/>
              <w:bottom w:val="single" w:sz="4" w:space="0" w:color="auto"/>
              <w:right w:val="nil"/>
            </w:tcBorders>
          </w:tcPr>
          <w:p w14:paraId="2FA860A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1322" w:type="dxa"/>
            <w:tcBorders>
              <w:top w:val="nil"/>
              <w:left w:val="nil"/>
              <w:bottom w:val="single" w:sz="4" w:space="0" w:color="auto"/>
              <w:right w:val="nil"/>
            </w:tcBorders>
          </w:tcPr>
          <w:p w14:paraId="6991AA2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–0.843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(0.104)</w:t>
            </w:r>
          </w:p>
        </w:tc>
        <w:tc>
          <w:tcPr>
            <w:tcW w:w="1322" w:type="dxa"/>
            <w:tcBorders>
              <w:top w:val="nil"/>
              <w:left w:val="nil"/>
              <w:bottom w:val="single" w:sz="4" w:space="0" w:color="auto"/>
              <w:right w:val="nil"/>
            </w:tcBorders>
          </w:tcPr>
          <w:p w14:paraId="1438B9A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–0.869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(0.102)</w:t>
            </w:r>
          </w:p>
        </w:tc>
        <w:tc>
          <w:tcPr>
            <w:tcW w:w="1322" w:type="dxa"/>
            <w:tcBorders>
              <w:top w:val="nil"/>
              <w:left w:val="nil"/>
              <w:bottom w:val="single" w:sz="4" w:space="0" w:color="auto"/>
              <w:right w:val="nil"/>
            </w:tcBorders>
          </w:tcPr>
          <w:p w14:paraId="5F37640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–0.748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(0.110)</w:t>
            </w:r>
          </w:p>
        </w:tc>
        <w:tc>
          <w:tcPr>
            <w:tcW w:w="1322" w:type="dxa"/>
            <w:tcBorders>
              <w:top w:val="nil"/>
              <w:left w:val="nil"/>
              <w:bottom w:val="single" w:sz="4" w:space="0" w:color="auto"/>
              <w:right w:val="nil"/>
            </w:tcBorders>
          </w:tcPr>
          <w:p w14:paraId="6B05665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–0.594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(0.117)</w:t>
            </w:r>
          </w:p>
        </w:tc>
        <w:tc>
          <w:tcPr>
            <w:tcW w:w="1322" w:type="dxa"/>
            <w:tcBorders>
              <w:top w:val="nil"/>
              <w:left w:val="nil"/>
              <w:bottom w:val="single" w:sz="4" w:space="0" w:color="auto"/>
              <w:right w:val="nil"/>
            </w:tcBorders>
          </w:tcPr>
          <w:p w14:paraId="4934E75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–0.765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(0.109)</w:t>
            </w:r>
          </w:p>
        </w:tc>
        <w:tc>
          <w:tcPr>
            <w:tcW w:w="1322" w:type="dxa"/>
            <w:tcBorders>
              <w:top w:val="nil"/>
              <w:left w:val="nil"/>
              <w:bottom w:val="single" w:sz="4" w:space="0" w:color="auto"/>
              <w:right w:val="nil"/>
            </w:tcBorders>
          </w:tcPr>
          <w:p w14:paraId="0D9C8BB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–0.662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(0.113)</w:t>
            </w:r>
          </w:p>
        </w:tc>
      </w:tr>
      <w:tr w:rsidR="000849BC" w:rsidRPr="000849BC" w14:paraId="3EF76B3A" w14:textId="77777777" w:rsidTr="00D17B7B">
        <w:tc>
          <w:tcPr>
            <w:tcW w:w="1688" w:type="dxa"/>
            <w:tcBorders>
              <w:top w:val="single" w:sz="4" w:space="0" w:color="auto"/>
              <w:left w:val="nil"/>
              <w:bottom w:val="nil"/>
              <w:right w:val="nil"/>
            </w:tcBorders>
          </w:tcPr>
          <w:p w14:paraId="686AA63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LR χ</w:t>
            </w:r>
            <w:r w:rsidRPr="000849BC">
              <w:rPr>
                <w:rFonts w:eastAsiaTheme="minorEastAsia" w:cs="Times New Roman"/>
                <w:sz w:val="20"/>
                <w:szCs w:val="20"/>
                <w:vertAlign w:val="superscript"/>
                <w:lang w:val="en-US" w:eastAsia="ru-RU"/>
              </w:rPr>
              <w:t>2</w:t>
            </w:r>
          </w:p>
        </w:tc>
        <w:tc>
          <w:tcPr>
            <w:tcW w:w="1322" w:type="dxa"/>
            <w:tcBorders>
              <w:top w:val="single" w:sz="4" w:space="0" w:color="auto"/>
              <w:left w:val="nil"/>
              <w:bottom w:val="nil"/>
              <w:right w:val="nil"/>
            </w:tcBorders>
          </w:tcPr>
          <w:p w14:paraId="5E76B40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1224.7</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0AE4CDD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1151.1</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06B9FA3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1173.2</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27C0D78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1131.9</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2C198E8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1084.8</w:t>
            </w:r>
            <w:r w:rsidRPr="000849BC">
              <w:rPr>
                <w:rFonts w:eastAsiaTheme="minorEastAsia" w:cs="Times New Roman"/>
                <w:sz w:val="20"/>
                <w:szCs w:val="20"/>
                <w:vertAlign w:val="superscript"/>
                <w:lang w:val="en-US" w:eastAsia="ru-RU"/>
              </w:rPr>
              <w:t>***</w:t>
            </w:r>
          </w:p>
        </w:tc>
        <w:tc>
          <w:tcPr>
            <w:tcW w:w="1322" w:type="dxa"/>
            <w:tcBorders>
              <w:top w:val="single" w:sz="4" w:space="0" w:color="auto"/>
              <w:left w:val="nil"/>
              <w:bottom w:val="nil"/>
              <w:right w:val="nil"/>
            </w:tcBorders>
          </w:tcPr>
          <w:p w14:paraId="6B7D3F6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1261.4</w:t>
            </w:r>
            <w:r w:rsidRPr="000849BC">
              <w:rPr>
                <w:rFonts w:eastAsiaTheme="minorEastAsia" w:cs="Times New Roman"/>
                <w:sz w:val="20"/>
                <w:szCs w:val="20"/>
                <w:vertAlign w:val="superscript"/>
                <w:lang w:val="en-US" w:eastAsia="ru-RU"/>
              </w:rPr>
              <w:t>***</w:t>
            </w:r>
          </w:p>
        </w:tc>
      </w:tr>
      <w:tr w:rsidR="000849BC" w:rsidRPr="000849BC" w14:paraId="3DEF934A" w14:textId="77777777" w:rsidTr="00D17B7B">
        <w:tc>
          <w:tcPr>
            <w:tcW w:w="1688" w:type="dxa"/>
            <w:tcBorders>
              <w:top w:val="nil"/>
              <w:left w:val="nil"/>
              <w:bottom w:val="nil"/>
              <w:right w:val="nil"/>
            </w:tcBorders>
          </w:tcPr>
          <w:p w14:paraId="34D96B1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Pseudo-R</w:t>
            </w:r>
            <w:r w:rsidRPr="000849BC">
              <w:rPr>
                <w:rFonts w:eastAsiaTheme="minorEastAsia" w:cs="Times New Roman"/>
                <w:sz w:val="20"/>
                <w:szCs w:val="20"/>
                <w:vertAlign w:val="superscript"/>
                <w:lang w:val="en-US" w:eastAsia="ru-RU"/>
              </w:rPr>
              <w:t>2</w:t>
            </w:r>
          </w:p>
        </w:tc>
        <w:tc>
          <w:tcPr>
            <w:tcW w:w="1322" w:type="dxa"/>
            <w:tcBorders>
              <w:top w:val="nil"/>
              <w:left w:val="nil"/>
              <w:bottom w:val="nil"/>
              <w:right w:val="nil"/>
            </w:tcBorders>
          </w:tcPr>
          <w:p w14:paraId="13EEDF4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0.145</w:t>
            </w:r>
          </w:p>
        </w:tc>
        <w:tc>
          <w:tcPr>
            <w:tcW w:w="1322" w:type="dxa"/>
            <w:tcBorders>
              <w:top w:val="nil"/>
              <w:left w:val="nil"/>
              <w:bottom w:val="nil"/>
              <w:right w:val="nil"/>
            </w:tcBorders>
          </w:tcPr>
          <w:p w14:paraId="4DF7581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0.136</w:t>
            </w:r>
          </w:p>
        </w:tc>
        <w:tc>
          <w:tcPr>
            <w:tcW w:w="1322" w:type="dxa"/>
            <w:tcBorders>
              <w:top w:val="nil"/>
              <w:left w:val="nil"/>
              <w:bottom w:val="nil"/>
              <w:right w:val="nil"/>
            </w:tcBorders>
          </w:tcPr>
          <w:p w14:paraId="24FA586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0.152</w:t>
            </w:r>
          </w:p>
        </w:tc>
        <w:tc>
          <w:tcPr>
            <w:tcW w:w="1322" w:type="dxa"/>
            <w:tcBorders>
              <w:top w:val="nil"/>
              <w:left w:val="nil"/>
              <w:bottom w:val="nil"/>
              <w:right w:val="nil"/>
            </w:tcBorders>
          </w:tcPr>
          <w:p w14:paraId="331DFAD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0.147</w:t>
            </w:r>
          </w:p>
        </w:tc>
        <w:tc>
          <w:tcPr>
            <w:tcW w:w="1322" w:type="dxa"/>
            <w:tcBorders>
              <w:top w:val="nil"/>
              <w:left w:val="nil"/>
              <w:bottom w:val="nil"/>
              <w:right w:val="nil"/>
            </w:tcBorders>
          </w:tcPr>
          <w:p w14:paraId="202C4C3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0.141</w:t>
            </w:r>
          </w:p>
        </w:tc>
        <w:tc>
          <w:tcPr>
            <w:tcW w:w="1322" w:type="dxa"/>
            <w:tcBorders>
              <w:top w:val="nil"/>
              <w:left w:val="nil"/>
              <w:bottom w:val="nil"/>
              <w:right w:val="nil"/>
            </w:tcBorders>
          </w:tcPr>
          <w:p w14:paraId="5E74B27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0.164</w:t>
            </w:r>
          </w:p>
        </w:tc>
      </w:tr>
      <w:tr w:rsidR="000849BC" w:rsidRPr="000849BC" w14:paraId="5A36DB8C" w14:textId="77777777" w:rsidTr="00D17B7B">
        <w:tc>
          <w:tcPr>
            <w:tcW w:w="1688" w:type="dxa"/>
            <w:tcBorders>
              <w:top w:val="nil"/>
              <w:left w:val="nil"/>
              <w:bottom w:val="nil"/>
              <w:right w:val="nil"/>
            </w:tcBorders>
          </w:tcPr>
          <w:p w14:paraId="2AF254BA"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roofErr w:type="spellStart"/>
            <w:r w:rsidRPr="000849BC">
              <w:rPr>
                <w:rFonts w:eastAsiaTheme="minorEastAsia" w:cs="Times New Roman"/>
                <w:i/>
                <w:iCs/>
                <w:sz w:val="20"/>
                <w:szCs w:val="20"/>
                <w:lang w:val="en-US" w:eastAsia="ru-RU"/>
              </w:rPr>
              <w:t>df</w:t>
            </w:r>
            <w:proofErr w:type="spellEnd"/>
          </w:p>
        </w:tc>
        <w:tc>
          <w:tcPr>
            <w:tcW w:w="1322" w:type="dxa"/>
            <w:tcBorders>
              <w:top w:val="nil"/>
              <w:left w:val="nil"/>
              <w:bottom w:val="nil"/>
              <w:right w:val="nil"/>
            </w:tcBorders>
          </w:tcPr>
          <w:p w14:paraId="2DA92B0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w:t>
            </w:r>
          </w:p>
        </w:tc>
        <w:tc>
          <w:tcPr>
            <w:tcW w:w="1322" w:type="dxa"/>
            <w:tcBorders>
              <w:top w:val="nil"/>
              <w:left w:val="nil"/>
              <w:bottom w:val="nil"/>
              <w:right w:val="nil"/>
            </w:tcBorders>
          </w:tcPr>
          <w:p w14:paraId="4DE57680"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w:t>
            </w:r>
          </w:p>
        </w:tc>
        <w:tc>
          <w:tcPr>
            <w:tcW w:w="1322" w:type="dxa"/>
            <w:tcBorders>
              <w:top w:val="nil"/>
              <w:left w:val="nil"/>
              <w:bottom w:val="nil"/>
              <w:right w:val="nil"/>
            </w:tcBorders>
          </w:tcPr>
          <w:p w14:paraId="76FFF21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w:t>
            </w:r>
          </w:p>
        </w:tc>
        <w:tc>
          <w:tcPr>
            <w:tcW w:w="1322" w:type="dxa"/>
            <w:tcBorders>
              <w:top w:val="nil"/>
              <w:left w:val="nil"/>
              <w:bottom w:val="nil"/>
              <w:right w:val="nil"/>
            </w:tcBorders>
          </w:tcPr>
          <w:p w14:paraId="53F7B4F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w:t>
            </w:r>
          </w:p>
        </w:tc>
        <w:tc>
          <w:tcPr>
            <w:tcW w:w="1322" w:type="dxa"/>
            <w:tcBorders>
              <w:top w:val="nil"/>
              <w:left w:val="nil"/>
              <w:bottom w:val="nil"/>
              <w:right w:val="nil"/>
            </w:tcBorders>
          </w:tcPr>
          <w:p w14:paraId="60E6931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w:t>
            </w:r>
          </w:p>
        </w:tc>
        <w:tc>
          <w:tcPr>
            <w:tcW w:w="1322" w:type="dxa"/>
            <w:tcBorders>
              <w:top w:val="nil"/>
              <w:left w:val="nil"/>
              <w:bottom w:val="nil"/>
              <w:right w:val="nil"/>
            </w:tcBorders>
          </w:tcPr>
          <w:p w14:paraId="08A5C30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w:t>
            </w:r>
          </w:p>
        </w:tc>
      </w:tr>
      <w:tr w:rsidR="000849BC" w:rsidRPr="000849BC" w14:paraId="7A5155AB" w14:textId="77777777" w:rsidTr="00D17B7B">
        <w:tc>
          <w:tcPr>
            <w:tcW w:w="1688" w:type="dxa"/>
            <w:tcBorders>
              <w:top w:val="nil"/>
              <w:left w:val="nil"/>
              <w:bottom w:val="nil"/>
              <w:right w:val="nil"/>
            </w:tcBorders>
          </w:tcPr>
          <w:p w14:paraId="05917011"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N</w:t>
            </w:r>
          </w:p>
        </w:tc>
        <w:tc>
          <w:tcPr>
            <w:tcW w:w="1322" w:type="dxa"/>
            <w:tcBorders>
              <w:top w:val="nil"/>
              <w:left w:val="nil"/>
              <w:bottom w:val="nil"/>
              <w:right w:val="nil"/>
            </w:tcBorders>
          </w:tcPr>
          <w:p w14:paraId="3784E65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4,657</w:t>
            </w:r>
          </w:p>
        </w:tc>
        <w:tc>
          <w:tcPr>
            <w:tcW w:w="1322" w:type="dxa"/>
            <w:tcBorders>
              <w:top w:val="nil"/>
              <w:left w:val="nil"/>
              <w:bottom w:val="nil"/>
              <w:right w:val="nil"/>
            </w:tcBorders>
          </w:tcPr>
          <w:p w14:paraId="00863B6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4,657</w:t>
            </w:r>
          </w:p>
        </w:tc>
        <w:tc>
          <w:tcPr>
            <w:tcW w:w="1322" w:type="dxa"/>
            <w:tcBorders>
              <w:top w:val="nil"/>
              <w:left w:val="nil"/>
              <w:bottom w:val="nil"/>
              <w:right w:val="nil"/>
            </w:tcBorders>
          </w:tcPr>
          <w:p w14:paraId="38A0B78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4,271</w:t>
            </w:r>
          </w:p>
        </w:tc>
        <w:tc>
          <w:tcPr>
            <w:tcW w:w="1322" w:type="dxa"/>
            <w:tcBorders>
              <w:top w:val="nil"/>
              <w:left w:val="nil"/>
              <w:bottom w:val="nil"/>
              <w:right w:val="nil"/>
            </w:tcBorders>
          </w:tcPr>
          <w:p w14:paraId="08AE88B9"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4,271</w:t>
            </w:r>
          </w:p>
        </w:tc>
        <w:tc>
          <w:tcPr>
            <w:tcW w:w="1322" w:type="dxa"/>
            <w:tcBorders>
              <w:top w:val="nil"/>
              <w:left w:val="nil"/>
              <w:bottom w:val="nil"/>
              <w:right w:val="nil"/>
            </w:tcBorders>
          </w:tcPr>
          <w:p w14:paraId="2ABFE0B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4,271</w:t>
            </w:r>
          </w:p>
        </w:tc>
        <w:tc>
          <w:tcPr>
            <w:tcW w:w="1322" w:type="dxa"/>
            <w:tcBorders>
              <w:top w:val="nil"/>
              <w:left w:val="nil"/>
              <w:bottom w:val="nil"/>
              <w:right w:val="nil"/>
            </w:tcBorders>
          </w:tcPr>
          <w:p w14:paraId="1E1DDA6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4,271</w:t>
            </w:r>
          </w:p>
        </w:tc>
      </w:tr>
      <w:tr w:rsidR="000849BC" w:rsidRPr="000849BC" w14:paraId="7F7B5DC1" w14:textId="77777777" w:rsidTr="00D17B7B">
        <w:tc>
          <w:tcPr>
            <w:tcW w:w="1688" w:type="dxa"/>
            <w:tcBorders>
              <w:top w:val="nil"/>
              <w:left w:val="nil"/>
              <w:bottom w:val="nil"/>
              <w:right w:val="nil"/>
            </w:tcBorders>
          </w:tcPr>
          <w:p w14:paraId="1D508BAA"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χ</w:t>
            </w:r>
            <w:r w:rsidRPr="000849BC">
              <w:rPr>
                <w:rFonts w:eastAsiaTheme="minorEastAsia" w:cs="Times New Roman"/>
                <w:sz w:val="20"/>
                <w:szCs w:val="20"/>
                <w:vertAlign w:val="superscript"/>
                <w:lang w:val="en-US" w:eastAsia="ru-RU"/>
              </w:rPr>
              <w:t xml:space="preserve">2 </w:t>
            </w:r>
            <w:r w:rsidRPr="000849BC">
              <w:rPr>
                <w:rFonts w:eastAsiaTheme="minorEastAsia" w:cs="Times New Roman"/>
                <w:sz w:val="20"/>
                <w:szCs w:val="20"/>
                <w:lang w:val="en-US" w:eastAsia="ru-RU"/>
              </w:rPr>
              <w:t>for the Wald test of the interaction effect</w:t>
            </w:r>
          </w:p>
        </w:tc>
        <w:tc>
          <w:tcPr>
            <w:tcW w:w="1322" w:type="dxa"/>
            <w:tcBorders>
              <w:top w:val="nil"/>
              <w:left w:val="nil"/>
              <w:bottom w:val="nil"/>
              <w:right w:val="nil"/>
            </w:tcBorders>
          </w:tcPr>
          <w:p w14:paraId="360ACD0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18.521</w:t>
            </w:r>
            <w:r w:rsidRPr="000849BC">
              <w:rPr>
                <w:rFonts w:eastAsiaTheme="minorEastAsia" w:cs="Times New Roman"/>
                <w:sz w:val="20"/>
                <w:szCs w:val="20"/>
                <w:vertAlign w:val="superscript"/>
                <w:lang w:val="en-US" w:eastAsia="ru-RU"/>
              </w:rPr>
              <w:t>***</w:t>
            </w:r>
          </w:p>
        </w:tc>
        <w:tc>
          <w:tcPr>
            <w:tcW w:w="1322" w:type="dxa"/>
            <w:tcBorders>
              <w:top w:val="nil"/>
              <w:left w:val="nil"/>
              <w:bottom w:val="nil"/>
              <w:right w:val="nil"/>
            </w:tcBorders>
          </w:tcPr>
          <w:p w14:paraId="576952D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31.856</w:t>
            </w:r>
            <w:r w:rsidRPr="000849BC">
              <w:rPr>
                <w:rFonts w:eastAsiaTheme="minorEastAsia" w:cs="Times New Roman"/>
                <w:sz w:val="20"/>
                <w:szCs w:val="20"/>
                <w:vertAlign w:val="superscript"/>
                <w:lang w:val="en-US" w:eastAsia="ru-RU"/>
              </w:rPr>
              <w:t>***</w:t>
            </w:r>
          </w:p>
        </w:tc>
        <w:tc>
          <w:tcPr>
            <w:tcW w:w="1322" w:type="dxa"/>
            <w:tcBorders>
              <w:top w:val="nil"/>
              <w:left w:val="nil"/>
              <w:bottom w:val="nil"/>
              <w:right w:val="nil"/>
            </w:tcBorders>
          </w:tcPr>
          <w:p w14:paraId="7E9B401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4.893</w:t>
            </w:r>
          </w:p>
        </w:tc>
        <w:tc>
          <w:tcPr>
            <w:tcW w:w="1322" w:type="dxa"/>
            <w:tcBorders>
              <w:top w:val="nil"/>
              <w:left w:val="nil"/>
              <w:bottom w:val="nil"/>
              <w:right w:val="nil"/>
            </w:tcBorders>
          </w:tcPr>
          <w:p w14:paraId="24F6B19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6.339</w:t>
            </w:r>
            <w:r w:rsidRPr="000849BC">
              <w:rPr>
                <w:rFonts w:eastAsiaTheme="minorEastAsia" w:cs="Times New Roman"/>
                <w:sz w:val="20"/>
                <w:szCs w:val="20"/>
                <w:vertAlign w:val="superscript"/>
                <w:lang w:val="en-US" w:eastAsia="ru-RU"/>
              </w:rPr>
              <w:t>*</w:t>
            </w:r>
          </w:p>
        </w:tc>
        <w:tc>
          <w:tcPr>
            <w:tcW w:w="1322" w:type="dxa"/>
            <w:tcBorders>
              <w:top w:val="nil"/>
              <w:left w:val="nil"/>
              <w:bottom w:val="nil"/>
              <w:right w:val="nil"/>
            </w:tcBorders>
          </w:tcPr>
          <w:p w14:paraId="27078B4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9.954</w:t>
            </w:r>
            <w:r w:rsidRPr="000849BC">
              <w:rPr>
                <w:rFonts w:eastAsiaTheme="minorEastAsia" w:cs="Times New Roman"/>
                <w:sz w:val="20"/>
                <w:szCs w:val="20"/>
                <w:vertAlign w:val="superscript"/>
                <w:lang w:val="en-US" w:eastAsia="ru-RU"/>
              </w:rPr>
              <w:t>**</w:t>
            </w:r>
          </w:p>
        </w:tc>
        <w:tc>
          <w:tcPr>
            <w:tcW w:w="1322" w:type="dxa"/>
            <w:tcBorders>
              <w:top w:val="nil"/>
              <w:left w:val="nil"/>
              <w:bottom w:val="nil"/>
              <w:right w:val="nil"/>
            </w:tcBorders>
          </w:tcPr>
          <w:p w14:paraId="6777F19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11.390</w:t>
            </w:r>
            <w:r w:rsidRPr="000849BC">
              <w:rPr>
                <w:rFonts w:eastAsiaTheme="minorEastAsia" w:cs="Times New Roman"/>
                <w:sz w:val="20"/>
                <w:szCs w:val="20"/>
                <w:vertAlign w:val="superscript"/>
                <w:lang w:val="en-US" w:eastAsia="ru-RU"/>
              </w:rPr>
              <w:t>**</w:t>
            </w:r>
          </w:p>
        </w:tc>
      </w:tr>
      <w:tr w:rsidR="000849BC" w:rsidRPr="000849BC" w14:paraId="256ACDC4" w14:textId="77777777" w:rsidTr="00D17B7B">
        <w:tc>
          <w:tcPr>
            <w:tcW w:w="1688" w:type="dxa"/>
            <w:tcBorders>
              <w:top w:val="nil"/>
              <w:left w:val="nil"/>
              <w:bottom w:val="single" w:sz="4" w:space="0" w:color="auto"/>
              <w:right w:val="nil"/>
            </w:tcBorders>
          </w:tcPr>
          <w:p w14:paraId="3AC8AEA6"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χ</w:t>
            </w:r>
            <w:r w:rsidRPr="000849BC">
              <w:rPr>
                <w:rFonts w:eastAsiaTheme="minorEastAsia" w:cs="Times New Roman"/>
                <w:sz w:val="20"/>
                <w:szCs w:val="20"/>
                <w:vertAlign w:val="superscript"/>
                <w:lang w:val="en-US" w:eastAsia="ru-RU"/>
              </w:rPr>
              <w:t xml:space="preserve">2 </w:t>
            </w:r>
            <w:r w:rsidRPr="000849BC">
              <w:rPr>
                <w:rFonts w:eastAsiaTheme="minorEastAsia" w:cs="Times New Roman"/>
                <w:sz w:val="20"/>
                <w:szCs w:val="20"/>
                <w:lang w:val="en-US" w:eastAsia="ru-RU"/>
              </w:rPr>
              <w:t>for the Likelihood-ratio test of the interaction effect</w:t>
            </w:r>
          </w:p>
        </w:tc>
        <w:tc>
          <w:tcPr>
            <w:tcW w:w="1322" w:type="dxa"/>
            <w:tcBorders>
              <w:top w:val="nil"/>
              <w:left w:val="nil"/>
              <w:bottom w:val="single" w:sz="4" w:space="0" w:color="auto"/>
              <w:right w:val="nil"/>
            </w:tcBorders>
          </w:tcPr>
          <w:p w14:paraId="3FE0E19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19.070</w:t>
            </w:r>
            <w:r w:rsidRPr="000849BC">
              <w:rPr>
                <w:rFonts w:eastAsiaTheme="minorEastAsia" w:cs="Times New Roman"/>
                <w:sz w:val="20"/>
                <w:szCs w:val="20"/>
                <w:vertAlign w:val="superscript"/>
                <w:lang w:val="en-US" w:eastAsia="ru-RU"/>
              </w:rPr>
              <w:t>***</w:t>
            </w:r>
          </w:p>
        </w:tc>
        <w:tc>
          <w:tcPr>
            <w:tcW w:w="1322" w:type="dxa"/>
            <w:tcBorders>
              <w:top w:val="nil"/>
              <w:left w:val="nil"/>
              <w:bottom w:val="single" w:sz="4" w:space="0" w:color="auto"/>
              <w:right w:val="nil"/>
            </w:tcBorders>
          </w:tcPr>
          <w:p w14:paraId="313BE63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32.913</w:t>
            </w:r>
            <w:r w:rsidRPr="000849BC">
              <w:rPr>
                <w:rFonts w:eastAsiaTheme="minorEastAsia" w:cs="Times New Roman"/>
                <w:sz w:val="20"/>
                <w:szCs w:val="20"/>
                <w:vertAlign w:val="superscript"/>
                <w:lang w:val="en-US" w:eastAsia="ru-RU"/>
              </w:rPr>
              <w:t>***</w:t>
            </w:r>
          </w:p>
        </w:tc>
        <w:tc>
          <w:tcPr>
            <w:tcW w:w="1322" w:type="dxa"/>
            <w:tcBorders>
              <w:top w:val="nil"/>
              <w:left w:val="nil"/>
              <w:bottom w:val="single" w:sz="4" w:space="0" w:color="auto"/>
              <w:right w:val="nil"/>
            </w:tcBorders>
          </w:tcPr>
          <w:p w14:paraId="61FB2C2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4.921</w:t>
            </w:r>
          </w:p>
        </w:tc>
        <w:tc>
          <w:tcPr>
            <w:tcW w:w="1322" w:type="dxa"/>
            <w:tcBorders>
              <w:top w:val="nil"/>
              <w:left w:val="nil"/>
              <w:bottom w:val="single" w:sz="4" w:space="0" w:color="auto"/>
              <w:right w:val="nil"/>
            </w:tcBorders>
          </w:tcPr>
          <w:p w14:paraId="7BD90CF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6.392</w:t>
            </w:r>
            <w:r w:rsidRPr="000849BC">
              <w:rPr>
                <w:rFonts w:eastAsiaTheme="minorEastAsia" w:cs="Times New Roman"/>
                <w:sz w:val="20"/>
                <w:szCs w:val="20"/>
                <w:vertAlign w:val="superscript"/>
                <w:lang w:val="en-US" w:eastAsia="ru-RU"/>
              </w:rPr>
              <w:t>*</w:t>
            </w:r>
          </w:p>
        </w:tc>
        <w:tc>
          <w:tcPr>
            <w:tcW w:w="1322" w:type="dxa"/>
            <w:tcBorders>
              <w:top w:val="nil"/>
              <w:left w:val="nil"/>
              <w:bottom w:val="single" w:sz="4" w:space="0" w:color="auto"/>
              <w:right w:val="nil"/>
            </w:tcBorders>
          </w:tcPr>
          <w:p w14:paraId="50D40A5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10.068</w:t>
            </w:r>
            <w:r w:rsidRPr="000849BC">
              <w:rPr>
                <w:rFonts w:eastAsiaTheme="minorEastAsia" w:cs="Times New Roman"/>
                <w:sz w:val="20"/>
                <w:szCs w:val="20"/>
                <w:vertAlign w:val="superscript"/>
                <w:lang w:val="en-US" w:eastAsia="ru-RU"/>
              </w:rPr>
              <w:t>**</w:t>
            </w:r>
          </w:p>
        </w:tc>
        <w:tc>
          <w:tcPr>
            <w:tcW w:w="1322" w:type="dxa"/>
            <w:tcBorders>
              <w:top w:val="nil"/>
              <w:left w:val="nil"/>
              <w:bottom w:val="single" w:sz="4" w:space="0" w:color="auto"/>
              <w:right w:val="nil"/>
            </w:tcBorders>
          </w:tcPr>
          <w:p w14:paraId="719CBF7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11.603</w:t>
            </w:r>
            <w:r w:rsidRPr="000849BC">
              <w:rPr>
                <w:rFonts w:eastAsiaTheme="minorEastAsia" w:cs="Times New Roman"/>
                <w:sz w:val="20"/>
                <w:szCs w:val="20"/>
                <w:vertAlign w:val="superscript"/>
                <w:lang w:val="en-US" w:eastAsia="ru-RU"/>
              </w:rPr>
              <w:t>**</w:t>
            </w:r>
          </w:p>
        </w:tc>
      </w:tr>
    </w:tbl>
    <w:p w14:paraId="0D64AA41"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i/>
          <w:iCs/>
          <w:sz w:val="20"/>
          <w:szCs w:val="20"/>
          <w:lang w:val="en-US" w:eastAsia="ru-RU"/>
        </w:rPr>
        <w:t xml:space="preserve">Notes: </w:t>
      </w:r>
      <w:r w:rsidRPr="000849BC">
        <w:rPr>
          <w:rFonts w:eastAsiaTheme="minorEastAsia" w:cs="Times New Roman"/>
          <w:sz w:val="20"/>
          <w:szCs w:val="20"/>
          <w:lang w:val="en-US" w:eastAsia="ru-RU"/>
        </w:rPr>
        <w:t xml:space="preserve">All models include controls for sex and TIMSS residence area (suppressed in tables). Main values are </w:t>
      </w:r>
      <w:proofErr w:type="spellStart"/>
      <w:r w:rsidRPr="000849BC">
        <w:rPr>
          <w:rFonts w:eastAsiaTheme="minorEastAsia" w:cs="Times New Roman"/>
          <w:sz w:val="20"/>
          <w:szCs w:val="20"/>
          <w:lang w:val="en-US" w:eastAsia="ru-RU"/>
        </w:rPr>
        <w:t>logit</w:t>
      </w:r>
      <w:proofErr w:type="spellEnd"/>
      <w:r w:rsidRPr="000849BC">
        <w:rPr>
          <w:rFonts w:eastAsiaTheme="minorEastAsia" w:cs="Times New Roman"/>
          <w:sz w:val="20"/>
          <w:szCs w:val="20"/>
          <w:lang w:val="en-US" w:eastAsia="ru-RU"/>
        </w:rPr>
        <w:t xml:space="preserve"> coefficients. Standard errors provided in parentheses. </w:t>
      </w:r>
      <w:r w:rsidRPr="000849BC">
        <w:rPr>
          <w:rFonts w:eastAsiaTheme="minorEastAsia" w:cs="Times New Roman"/>
          <w:i/>
          <w:iCs/>
          <w:sz w:val="20"/>
          <w:szCs w:val="20"/>
          <w:lang w:val="en-US" w:eastAsia="ru-RU"/>
        </w:rPr>
        <w:t>Source:</w:t>
      </w:r>
      <w:r w:rsidRPr="000849BC">
        <w:rPr>
          <w:rFonts w:eastAsiaTheme="minorEastAsia" w:cs="Times New Roman"/>
          <w:sz w:val="20"/>
          <w:szCs w:val="20"/>
          <w:lang w:val="en-US" w:eastAsia="ru-RU"/>
        </w:rPr>
        <w:t xml:space="preserve"> </w:t>
      </w:r>
      <w:proofErr w:type="spellStart"/>
      <w:r w:rsidRPr="000849BC">
        <w:rPr>
          <w:rFonts w:eastAsiaTheme="minorEastAsia" w:cs="Times New Roman"/>
          <w:sz w:val="20"/>
          <w:szCs w:val="20"/>
          <w:lang w:val="en-US" w:eastAsia="ru-RU"/>
        </w:rPr>
        <w:t>TrEC</w:t>
      </w:r>
      <w:proofErr w:type="spellEnd"/>
      <w:r w:rsidRPr="000849BC">
        <w:rPr>
          <w:rFonts w:eastAsiaTheme="minorEastAsia" w:cs="Times New Roman"/>
          <w:sz w:val="20"/>
          <w:szCs w:val="20"/>
          <w:lang w:val="en-US" w:eastAsia="ru-RU"/>
        </w:rPr>
        <w:t xml:space="preserve">; own calculations.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proofErr w:type="gramStart"/>
      <w:r w:rsidRPr="000849BC">
        <w:rPr>
          <w:rFonts w:eastAsiaTheme="minorEastAsia" w:cs="Times New Roman"/>
          <w:i/>
          <w:iCs/>
          <w:sz w:val="20"/>
          <w:szCs w:val="20"/>
          <w:lang w:val="en-US" w:eastAsia="ru-RU"/>
        </w:rPr>
        <w:t>p</w:t>
      </w:r>
      <w:proofErr w:type="gramEnd"/>
      <w:r w:rsidRPr="000849BC">
        <w:rPr>
          <w:rFonts w:eastAsiaTheme="minorEastAsia" w:cs="Times New Roman"/>
          <w:sz w:val="20"/>
          <w:szCs w:val="20"/>
          <w:lang w:val="en-US" w:eastAsia="ru-RU"/>
        </w:rPr>
        <w:t xml:space="preserve"> &lt; 0.05,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r w:rsidRPr="000849BC">
        <w:rPr>
          <w:rFonts w:eastAsiaTheme="minorEastAsia" w:cs="Times New Roman"/>
          <w:i/>
          <w:iCs/>
          <w:sz w:val="20"/>
          <w:szCs w:val="20"/>
          <w:lang w:val="en-US" w:eastAsia="ru-RU"/>
        </w:rPr>
        <w:t>p</w:t>
      </w:r>
      <w:r w:rsidRPr="000849BC">
        <w:rPr>
          <w:rFonts w:eastAsiaTheme="minorEastAsia" w:cs="Times New Roman"/>
          <w:sz w:val="20"/>
          <w:szCs w:val="20"/>
          <w:lang w:val="en-US" w:eastAsia="ru-RU"/>
        </w:rPr>
        <w:t xml:space="preserve"> &lt; 0.01,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r w:rsidRPr="000849BC">
        <w:rPr>
          <w:rFonts w:eastAsiaTheme="minorEastAsia" w:cs="Times New Roman"/>
          <w:i/>
          <w:iCs/>
          <w:sz w:val="20"/>
          <w:szCs w:val="20"/>
          <w:lang w:val="en-US" w:eastAsia="ru-RU"/>
        </w:rPr>
        <w:t>p</w:t>
      </w:r>
      <w:r w:rsidRPr="000849BC">
        <w:rPr>
          <w:rFonts w:eastAsiaTheme="minorEastAsia" w:cs="Times New Roman"/>
          <w:sz w:val="20"/>
          <w:szCs w:val="20"/>
          <w:lang w:val="en-US" w:eastAsia="ru-RU"/>
        </w:rPr>
        <w:t xml:space="preserve"> &lt; 0.001.</w:t>
      </w:r>
    </w:p>
    <w:p w14:paraId="5B784248" w14:textId="77777777" w:rsidR="000849BC" w:rsidRDefault="000849BC" w:rsidP="00C35151">
      <w:pPr>
        <w:ind w:firstLine="0"/>
        <w:rPr>
          <w:lang w:val="en-US"/>
        </w:rPr>
      </w:pPr>
    </w:p>
    <w:p w14:paraId="1608C64F" w14:textId="77777777" w:rsidR="000849BC" w:rsidRDefault="000849BC">
      <w:pPr>
        <w:spacing w:after="200" w:line="276" w:lineRule="auto"/>
        <w:ind w:firstLine="0"/>
        <w:jc w:val="left"/>
        <w:rPr>
          <w:rFonts w:eastAsiaTheme="minorEastAsia" w:cs="Times New Roman"/>
          <w:b/>
          <w:szCs w:val="24"/>
          <w:lang w:val="en-US" w:eastAsia="ru-RU"/>
        </w:rPr>
      </w:pPr>
      <w:r>
        <w:rPr>
          <w:rFonts w:eastAsiaTheme="minorEastAsia" w:cs="Times New Roman"/>
          <w:b/>
          <w:szCs w:val="24"/>
          <w:lang w:val="en-US" w:eastAsia="ru-RU"/>
        </w:rPr>
        <w:br w:type="page"/>
      </w:r>
    </w:p>
    <w:p w14:paraId="1B4C9BDD" w14:textId="03D824CF" w:rsidR="000849BC" w:rsidRPr="000849BC" w:rsidRDefault="000849BC" w:rsidP="000849BC">
      <w:pPr>
        <w:keepNext/>
        <w:widowControl w:val="0"/>
        <w:autoSpaceDE w:val="0"/>
        <w:autoSpaceDN w:val="0"/>
        <w:adjustRightInd w:val="0"/>
        <w:spacing w:line="240" w:lineRule="auto"/>
        <w:ind w:firstLine="0"/>
        <w:jc w:val="left"/>
        <w:rPr>
          <w:rFonts w:eastAsiaTheme="minorEastAsia" w:cs="Times New Roman"/>
          <w:b/>
          <w:szCs w:val="24"/>
          <w:lang w:val="en-US" w:eastAsia="ru-RU"/>
        </w:rPr>
      </w:pPr>
      <w:r w:rsidRPr="000849BC">
        <w:rPr>
          <w:rFonts w:eastAsiaTheme="minorEastAsia" w:cs="Times New Roman"/>
          <w:b/>
          <w:szCs w:val="24"/>
          <w:lang w:val="en-US" w:eastAsia="ru-RU"/>
        </w:rPr>
        <w:lastRenderedPageBreak/>
        <w:t>Table A.7. Multinomial regression models of real educational pathways with interaction term for TIMSS-in-PISA samples (vocational pathway as baseline outcome)</w:t>
      </w:r>
    </w:p>
    <w:p w14:paraId="65041CD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
    <w:tbl>
      <w:tblPr>
        <w:tblW w:w="5000" w:type="pct"/>
        <w:tblLayout w:type="fixed"/>
        <w:tblLook w:val="0000" w:firstRow="0" w:lastRow="0" w:firstColumn="0" w:lastColumn="0" w:noHBand="0" w:noVBand="0"/>
      </w:tblPr>
      <w:tblGrid>
        <w:gridCol w:w="3652"/>
        <w:gridCol w:w="2817"/>
        <w:gridCol w:w="2817"/>
      </w:tblGrid>
      <w:tr w:rsidR="000849BC" w:rsidRPr="000849BC" w14:paraId="2B15C3B6" w14:textId="77777777" w:rsidTr="00D17B7B">
        <w:tc>
          <w:tcPr>
            <w:tcW w:w="3786" w:type="dxa"/>
            <w:tcBorders>
              <w:top w:val="single" w:sz="4" w:space="0" w:color="auto"/>
              <w:left w:val="nil"/>
              <w:bottom w:val="nil"/>
              <w:right w:val="nil"/>
            </w:tcBorders>
          </w:tcPr>
          <w:p w14:paraId="69D4313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917" w:type="dxa"/>
            <w:tcBorders>
              <w:top w:val="single" w:sz="4" w:space="0" w:color="auto"/>
              <w:left w:val="nil"/>
              <w:bottom w:val="nil"/>
              <w:right w:val="nil"/>
            </w:tcBorders>
          </w:tcPr>
          <w:p w14:paraId="0C71BAA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w:t>
            </w:r>
          </w:p>
        </w:tc>
        <w:tc>
          <w:tcPr>
            <w:tcW w:w="2917" w:type="dxa"/>
            <w:tcBorders>
              <w:top w:val="single" w:sz="4" w:space="0" w:color="auto"/>
              <w:left w:val="nil"/>
              <w:bottom w:val="nil"/>
              <w:right w:val="nil"/>
            </w:tcBorders>
          </w:tcPr>
          <w:p w14:paraId="0212ECD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w:t>
            </w:r>
          </w:p>
        </w:tc>
      </w:tr>
      <w:tr w:rsidR="000849BC" w:rsidRPr="000849BC" w14:paraId="3DA53602" w14:textId="77777777" w:rsidTr="00D17B7B">
        <w:tc>
          <w:tcPr>
            <w:tcW w:w="3786" w:type="dxa"/>
            <w:tcBorders>
              <w:top w:val="nil"/>
              <w:left w:val="nil"/>
              <w:bottom w:val="nil"/>
              <w:right w:val="nil"/>
            </w:tcBorders>
          </w:tcPr>
          <w:p w14:paraId="7D01E665"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
        </w:tc>
        <w:tc>
          <w:tcPr>
            <w:tcW w:w="2917" w:type="dxa"/>
            <w:tcBorders>
              <w:top w:val="nil"/>
              <w:left w:val="nil"/>
              <w:bottom w:val="nil"/>
              <w:right w:val="nil"/>
            </w:tcBorders>
          </w:tcPr>
          <w:p w14:paraId="4CF0BA4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TIMSS math score </w:t>
            </w:r>
          </w:p>
        </w:tc>
        <w:tc>
          <w:tcPr>
            <w:tcW w:w="2917" w:type="dxa"/>
            <w:tcBorders>
              <w:top w:val="nil"/>
              <w:left w:val="nil"/>
              <w:bottom w:val="nil"/>
              <w:right w:val="nil"/>
            </w:tcBorders>
          </w:tcPr>
          <w:p w14:paraId="4A2662B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 xml:space="preserve">TIMSS science score </w:t>
            </w:r>
          </w:p>
        </w:tc>
      </w:tr>
      <w:tr w:rsidR="000849BC" w:rsidRPr="000849BC" w14:paraId="0BAA05C8" w14:textId="77777777" w:rsidTr="00D17B7B">
        <w:tc>
          <w:tcPr>
            <w:tcW w:w="9620" w:type="dxa"/>
            <w:gridSpan w:val="3"/>
            <w:tcBorders>
              <w:top w:val="single" w:sz="4" w:space="0" w:color="auto"/>
              <w:left w:val="nil"/>
              <w:bottom w:val="nil"/>
              <w:right w:val="nil"/>
            </w:tcBorders>
          </w:tcPr>
          <w:p w14:paraId="0615C16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Academic pathway</w:t>
            </w:r>
          </w:p>
        </w:tc>
      </w:tr>
      <w:tr w:rsidR="000849BC" w:rsidRPr="000849BC" w14:paraId="06A4712D" w14:textId="77777777" w:rsidTr="00D17B7B">
        <w:tc>
          <w:tcPr>
            <w:tcW w:w="3786" w:type="dxa"/>
            <w:tcBorders>
              <w:top w:val="nil"/>
              <w:left w:val="nil"/>
              <w:bottom w:val="nil"/>
              <w:right w:val="nil"/>
            </w:tcBorders>
          </w:tcPr>
          <w:p w14:paraId="14AC9051"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2917" w:type="dxa"/>
            <w:tcBorders>
              <w:top w:val="nil"/>
              <w:left w:val="nil"/>
              <w:bottom w:val="nil"/>
              <w:right w:val="nil"/>
            </w:tcBorders>
          </w:tcPr>
          <w:p w14:paraId="3B2931E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1.469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(0.107)</w:t>
            </w:r>
          </w:p>
        </w:tc>
        <w:tc>
          <w:tcPr>
            <w:tcW w:w="2917" w:type="dxa"/>
            <w:tcBorders>
              <w:top w:val="nil"/>
              <w:left w:val="nil"/>
              <w:bottom w:val="nil"/>
              <w:right w:val="nil"/>
            </w:tcBorders>
          </w:tcPr>
          <w:p w14:paraId="366CCA9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1.489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(0.104)</w:t>
            </w:r>
          </w:p>
        </w:tc>
      </w:tr>
      <w:tr w:rsidR="000849BC" w:rsidRPr="000849BC" w14:paraId="5960DB82" w14:textId="77777777" w:rsidTr="00D17B7B">
        <w:tc>
          <w:tcPr>
            <w:tcW w:w="3786" w:type="dxa"/>
            <w:tcBorders>
              <w:top w:val="nil"/>
              <w:left w:val="nil"/>
              <w:bottom w:val="nil"/>
              <w:right w:val="nil"/>
            </w:tcBorders>
          </w:tcPr>
          <w:p w14:paraId="6D9683EB"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w:t>
            </w:r>
          </w:p>
        </w:tc>
        <w:tc>
          <w:tcPr>
            <w:tcW w:w="2917" w:type="dxa"/>
            <w:tcBorders>
              <w:top w:val="nil"/>
              <w:left w:val="nil"/>
              <w:bottom w:val="nil"/>
              <w:right w:val="nil"/>
            </w:tcBorders>
          </w:tcPr>
          <w:p w14:paraId="424FAD8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1.038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(0.069)</w:t>
            </w:r>
          </w:p>
        </w:tc>
        <w:tc>
          <w:tcPr>
            <w:tcW w:w="2917" w:type="dxa"/>
            <w:tcBorders>
              <w:top w:val="nil"/>
              <w:left w:val="nil"/>
              <w:bottom w:val="nil"/>
              <w:right w:val="nil"/>
            </w:tcBorders>
          </w:tcPr>
          <w:p w14:paraId="05C1081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0.886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(0.066)</w:t>
            </w:r>
          </w:p>
        </w:tc>
      </w:tr>
      <w:tr w:rsidR="000849BC" w:rsidRPr="000849BC" w14:paraId="6D15A07C" w14:textId="77777777" w:rsidTr="00D17B7B">
        <w:tc>
          <w:tcPr>
            <w:tcW w:w="3786" w:type="dxa"/>
            <w:tcBorders>
              <w:top w:val="nil"/>
              <w:left w:val="nil"/>
              <w:bottom w:val="nil"/>
              <w:right w:val="nil"/>
            </w:tcBorders>
          </w:tcPr>
          <w:p w14:paraId="73D1F30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Ability measure</w:t>
            </w:r>
          </w:p>
        </w:tc>
        <w:tc>
          <w:tcPr>
            <w:tcW w:w="2917" w:type="dxa"/>
            <w:tcBorders>
              <w:top w:val="nil"/>
              <w:left w:val="nil"/>
              <w:bottom w:val="nil"/>
              <w:right w:val="nil"/>
            </w:tcBorders>
          </w:tcPr>
          <w:p w14:paraId="586617FB"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0.175</w:t>
            </w:r>
            <w:r w:rsidRPr="000849BC">
              <w:rPr>
                <w:rFonts w:eastAsiaTheme="minorEastAsia" w:cs="Times New Roman"/>
                <w:sz w:val="20"/>
                <w:szCs w:val="20"/>
                <w:lang w:val="en-US" w:eastAsia="ru-RU"/>
              </w:rPr>
              <w:br/>
              <w:t>(0.114)</w:t>
            </w:r>
          </w:p>
        </w:tc>
        <w:tc>
          <w:tcPr>
            <w:tcW w:w="2917" w:type="dxa"/>
            <w:tcBorders>
              <w:top w:val="nil"/>
              <w:left w:val="nil"/>
              <w:bottom w:val="nil"/>
              <w:right w:val="nil"/>
            </w:tcBorders>
          </w:tcPr>
          <w:p w14:paraId="5FB2E55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0.268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(0.110)</w:t>
            </w:r>
          </w:p>
        </w:tc>
      </w:tr>
      <w:tr w:rsidR="000849BC" w:rsidRPr="000849BC" w14:paraId="7391842E" w14:textId="77777777" w:rsidTr="00D17B7B">
        <w:tc>
          <w:tcPr>
            <w:tcW w:w="3786" w:type="dxa"/>
            <w:tcBorders>
              <w:top w:val="nil"/>
              <w:left w:val="nil"/>
              <w:bottom w:val="nil"/>
              <w:right w:val="nil"/>
            </w:tcBorders>
          </w:tcPr>
          <w:p w14:paraId="71BA996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2917" w:type="dxa"/>
            <w:tcBorders>
              <w:top w:val="nil"/>
              <w:left w:val="nil"/>
              <w:bottom w:val="nil"/>
              <w:right w:val="nil"/>
            </w:tcBorders>
          </w:tcPr>
          <w:p w14:paraId="1E9ADA1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–0.183</w:t>
            </w:r>
            <w:r w:rsidRPr="000849BC">
              <w:rPr>
                <w:rFonts w:eastAsiaTheme="minorEastAsia" w:cs="Times New Roman"/>
                <w:sz w:val="20"/>
                <w:szCs w:val="20"/>
                <w:lang w:val="en-US" w:eastAsia="ru-RU"/>
              </w:rPr>
              <w:br/>
              <w:t>(0.094)</w:t>
            </w:r>
          </w:p>
        </w:tc>
        <w:tc>
          <w:tcPr>
            <w:tcW w:w="2917" w:type="dxa"/>
            <w:tcBorders>
              <w:top w:val="nil"/>
              <w:left w:val="nil"/>
              <w:bottom w:val="nil"/>
              <w:right w:val="nil"/>
            </w:tcBorders>
          </w:tcPr>
          <w:p w14:paraId="35AE1CB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–0.280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(0.092)</w:t>
            </w:r>
          </w:p>
        </w:tc>
      </w:tr>
      <w:tr w:rsidR="000849BC" w:rsidRPr="000849BC" w14:paraId="0B24AFB5" w14:textId="77777777" w:rsidTr="00D17B7B">
        <w:tc>
          <w:tcPr>
            <w:tcW w:w="9620" w:type="dxa"/>
            <w:gridSpan w:val="3"/>
            <w:tcBorders>
              <w:top w:val="single" w:sz="4" w:space="0" w:color="auto"/>
              <w:left w:val="nil"/>
              <w:bottom w:val="nil"/>
              <w:right w:val="nil"/>
            </w:tcBorders>
          </w:tcPr>
          <w:p w14:paraId="3088CCC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Pseudo-academic pathway</w:t>
            </w:r>
          </w:p>
        </w:tc>
      </w:tr>
      <w:tr w:rsidR="000849BC" w:rsidRPr="000849BC" w14:paraId="5A4F1E29" w14:textId="77777777" w:rsidTr="00D17B7B">
        <w:tc>
          <w:tcPr>
            <w:tcW w:w="3786" w:type="dxa"/>
            <w:tcBorders>
              <w:top w:val="nil"/>
              <w:left w:val="nil"/>
              <w:bottom w:val="nil"/>
              <w:right w:val="nil"/>
            </w:tcBorders>
          </w:tcPr>
          <w:p w14:paraId="19757C3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2917" w:type="dxa"/>
            <w:tcBorders>
              <w:top w:val="nil"/>
              <w:left w:val="nil"/>
              <w:bottom w:val="nil"/>
              <w:right w:val="nil"/>
            </w:tcBorders>
          </w:tcPr>
          <w:p w14:paraId="4B29F13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0.734</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(0.151)</w:t>
            </w:r>
          </w:p>
        </w:tc>
        <w:tc>
          <w:tcPr>
            <w:tcW w:w="2917" w:type="dxa"/>
            <w:tcBorders>
              <w:top w:val="nil"/>
              <w:left w:val="nil"/>
              <w:bottom w:val="nil"/>
              <w:right w:val="nil"/>
            </w:tcBorders>
          </w:tcPr>
          <w:p w14:paraId="2317922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0.759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(0.150)</w:t>
            </w:r>
          </w:p>
        </w:tc>
      </w:tr>
      <w:tr w:rsidR="000849BC" w:rsidRPr="000849BC" w14:paraId="248EAFB8" w14:textId="77777777" w:rsidTr="00D17B7B">
        <w:tc>
          <w:tcPr>
            <w:tcW w:w="3786" w:type="dxa"/>
            <w:tcBorders>
              <w:top w:val="nil"/>
              <w:left w:val="nil"/>
              <w:bottom w:val="nil"/>
              <w:right w:val="nil"/>
            </w:tcBorders>
          </w:tcPr>
          <w:p w14:paraId="284500F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w:t>
            </w:r>
          </w:p>
        </w:tc>
        <w:tc>
          <w:tcPr>
            <w:tcW w:w="2917" w:type="dxa"/>
            <w:tcBorders>
              <w:top w:val="nil"/>
              <w:left w:val="nil"/>
              <w:bottom w:val="nil"/>
              <w:right w:val="nil"/>
            </w:tcBorders>
          </w:tcPr>
          <w:p w14:paraId="7A43813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0.223</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(0.093)</w:t>
            </w:r>
          </w:p>
        </w:tc>
        <w:tc>
          <w:tcPr>
            <w:tcW w:w="2917" w:type="dxa"/>
            <w:tcBorders>
              <w:top w:val="nil"/>
              <w:left w:val="nil"/>
              <w:bottom w:val="nil"/>
              <w:right w:val="nil"/>
            </w:tcBorders>
          </w:tcPr>
          <w:p w14:paraId="0AC0E14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0.127</w:t>
            </w:r>
            <w:r w:rsidRPr="000849BC">
              <w:rPr>
                <w:rFonts w:eastAsiaTheme="minorEastAsia" w:cs="Times New Roman"/>
                <w:sz w:val="20"/>
                <w:szCs w:val="20"/>
                <w:lang w:val="en-US" w:eastAsia="ru-RU"/>
              </w:rPr>
              <w:br/>
              <w:t>(0.089)</w:t>
            </w:r>
          </w:p>
        </w:tc>
      </w:tr>
      <w:tr w:rsidR="000849BC" w:rsidRPr="000849BC" w14:paraId="6E429CD6" w14:textId="77777777" w:rsidTr="00D17B7B">
        <w:tc>
          <w:tcPr>
            <w:tcW w:w="3786" w:type="dxa"/>
            <w:tcBorders>
              <w:top w:val="nil"/>
              <w:left w:val="nil"/>
              <w:bottom w:val="nil"/>
              <w:right w:val="nil"/>
            </w:tcBorders>
          </w:tcPr>
          <w:p w14:paraId="10F7DA4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Ability measure</w:t>
            </w:r>
          </w:p>
        </w:tc>
        <w:tc>
          <w:tcPr>
            <w:tcW w:w="2917" w:type="dxa"/>
            <w:tcBorders>
              <w:top w:val="nil"/>
              <w:left w:val="nil"/>
              <w:bottom w:val="nil"/>
              <w:right w:val="nil"/>
            </w:tcBorders>
          </w:tcPr>
          <w:p w14:paraId="0F7E4EC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0.145</w:t>
            </w:r>
            <w:r w:rsidRPr="000849BC">
              <w:rPr>
                <w:rFonts w:eastAsiaTheme="minorEastAsia" w:cs="Times New Roman"/>
                <w:sz w:val="20"/>
                <w:szCs w:val="20"/>
                <w:lang w:val="en-US" w:eastAsia="ru-RU"/>
              </w:rPr>
              <w:br/>
              <w:t>(0.154)</w:t>
            </w:r>
          </w:p>
        </w:tc>
        <w:tc>
          <w:tcPr>
            <w:tcW w:w="2917" w:type="dxa"/>
            <w:tcBorders>
              <w:top w:val="nil"/>
              <w:left w:val="nil"/>
              <w:bottom w:val="nil"/>
              <w:right w:val="nil"/>
            </w:tcBorders>
          </w:tcPr>
          <w:p w14:paraId="7BA118D5"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0.138</w:t>
            </w:r>
            <w:r w:rsidRPr="000849BC">
              <w:rPr>
                <w:rFonts w:eastAsiaTheme="minorEastAsia" w:cs="Times New Roman"/>
                <w:sz w:val="20"/>
                <w:szCs w:val="20"/>
                <w:lang w:val="en-US" w:eastAsia="ru-RU"/>
              </w:rPr>
              <w:br/>
              <w:t>(0.149)</w:t>
            </w:r>
          </w:p>
        </w:tc>
      </w:tr>
      <w:tr w:rsidR="000849BC" w:rsidRPr="000849BC" w14:paraId="46B3D13A" w14:textId="77777777" w:rsidTr="00D17B7B">
        <w:tc>
          <w:tcPr>
            <w:tcW w:w="3786" w:type="dxa"/>
            <w:tcBorders>
              <w:top w:val="nil"/>
              <w:left w:val="nil"/>
              <w:bottom w:val="nil"/>
              <w:right w:val="nil"/>
            </w:tcBorders>
          </w:tcPr>
          <w:p w14:paraId="0C87A885"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2917" w:type="dxa"/>
            <w:tcBorders>
              <w:top w:val="nil"/>
              <w:left w:val="nil"/>
              <w:bottom w:val="nil"/>
              <w:right w:val="nil"/>
            </w:tcBorders>
          </w:tcPr>
          <w:p w14:paraId="4B58A3A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–1.959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(0.155)</w:t>
            </w:r>
          </w:p>
        </w:tc>
        <w:tc>
          <w:tcPr>
            <w:tcW w:w="2917" w:type="dxa"/>
            <w:tcBorders>
              <w:top w:val="nil"/>
              <w:left w:val="nil"/>
              <w:bottom w:val="nil"/>
              <w:right w:val="nil"/>
            </w:tcBorders>
          </w:tcPr>
          <w:p w14:paraId="228AED0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–2.032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(0.154)</w:t>
            </w:r>
          </w:p>
        </w:tc>
      </w:tr>
      <w:tr w:rsidR="000849BC" w:rsidRPr="000849BC" w14:paraId="57629E2B" w14:textId="77777777" w:rsidTr="00D17B7B">
        <w:tc>
          <w:tcPr>
            <w:tcW w:w="9620" w:type="dxa"/>
            <w:gridSpan w:val="3"/>
            <w:tcBorders>
              <w:top w:val="single" w:sz="4" w:space="0" w:color="auto"/>
              <w:left w:val="nil"/>
              <w:bottom w:val="nil"/>
              <w:right w:val="nil"/>
            </w:tcBorders>
          </w:tcPr>
          <w:p w14:paraId="7B6E73E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Other unclassified pathways</w:t>
            </w:r>
          </w:p>
        </w:tc>
      </w:tr>
      <w:tr w:rsidR="000849BC" w:rsidRPr="000849BC" w14:paraId="722E89DF" w14:textId="77777777" w:rsidTr="00D17B7B">
        <w:tc>
          <w:tcPr>
            <w:tcW w:w="3786" w:type="dxa"/>
            <w:tcBorders>
              <w:top w:val="nil"/>
              <w:left w:val="nil"/>
              <w:bottom w:val="nil"/>
              <w:right w:val="nil"/>
            </w:tcBorders>
          </w:tcPr>
          <w:p w14:paraId="7D5ACBA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2917" w:type="dxa"/>
            <w:tcBorders>
              <w:top w:val="nil"/>
              <w:left w:val="nil"/>
              <w:bottom w:val="nil"/>
              <w:right w:val="nil"/>
            </w:tcBorders>
          </w:tcPr>
          <w:p w14:paraId="1F44E04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0.530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(0.141)</w:t>
            </w:r>
          </w:p>
        </w:tc>
        <w:tc>
          <w:tcPr>
            <w:tcW w:w="2917" w:type="dxa"/>
            <w:tcBorders>
              <w:top w:val="nil"/>
              <w:left w:val="nil"/>
              <w:bottom w:val="nil"/>
              <w:right w:val="nil"/>
            </w:tcBorders>
          </w:tcPr>
          <w:p w14:paraId="305CC64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0.576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(0.140)</w:t>
            </w:r>
          </w:p>
        </w:tc>
      </w:tr>
      <w:tr w:rsidR="000849BC" w:rsidRPr="000849BC" w14:paraId="4DDBDAEF" w14:textId="77777777" w:rsidTr="00D17B7B">
        <w:tc>
          <w:tcPr>
            <w:tcW w:w="3786" w:type="dxa"/>
            <w:tcBorders>
              <w:top w:val="nil"/>
              <w:left w:val="nil"/>
              <w:bottom w:val="nil"/>
              <w:right w:val="nil"/>
            </w:tcBorders>
          </w:tcPr>
          <w:p w14:paraId="7E6C1D2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w:t>
            </w:r>
          </w:p>
        </w:tc>
        <w:tc>
          <w:tcPr>
            <w:tcW w:w="2917" w:type="dxa"/>
            <w:tcBorders>
              <w:top w:val="nil"/>
              <w:left w:val="nil"/>
              <w:bottom w:val="nil"/>
              <w:right w:val="nil"/>
            </w:tcBorders>
          </w:tcPr>
          <w:p w14:paraId="14A8609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0.319</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(0.081)</w:t>
            </w:r>
          </w:p>
        </w:tc>
        <w:tc>
          <w:tcPr>
            <w:tcW w:w="2917" w:type="dxa"/>
            <w:tcBorders>
              <w:top w:val="nil"/>
              <w:left w:val="nil"/>
              <w:bottom w:val="nil"/>
              <w:right w:val="nil"/>
            </w:tcBorders>
          </w:tcPr>
          <w:p w14:paraId="1A8DD2C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0.171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(0.077)</w:t>
            </w:r>
          </w:p>
        </w:tc>
      </w:tr>
      <w:tr w:rsidR="000849BC" w:rsidRPr="000849BC" w14:paraId="501E8B82" w14:textId="77777777" w:rsidTr="00D17B7B">
        <w:tc>
          <w:tcPr>
            <w:tcW w:w="3786" w:type="dxa"/>
            <w:tcBorders>
              <w:top w:val="nil"/>
              <w:left w:val="nil"/>
              <w:bottom w:val="nil"/>
              <w:right w:val="nil"/>
            </w:tcBorders>
          </w:tcPr>
          <w:p w14:paraId="066AD6F9"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Ability measure</w:t>
            </w:r>
          </w:p>
        </w:tc>
        <w:tc>
          <w:tcPr>
            <w:tcW w:w="2917" w:type="dxa"/>
            <w:tcBorders>
              <w:top w:val="nil"/>
              <w:left w:val="nil"/>
              <w:bottom w:val="nil"/>
              <w:right w:val="nil"/>
            </w:tcBorders>
          </w:tcPr>
          <w:p w14:paraId="4BC5C14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0.195</w:t>
            </w:r>
            <w:r w:rsidRPr="000849BC">
              <w:rPr>
                <w:rFonts w:eastAsiaTheme="minorEastAsia" w:cs="Times New Roman"/>
                <w:sz w:val="20"/>
                <w:szCs w:val="20"/>
                <w:lang w:val="en-US" w:eastAsia="ru-RU"/>
              </w:rPr>
              <w:br/>
              <w:t>(0.144)</w:t>
            </w:r>
          </w:p>
        </w:tc>
        <w:tc>
          <w:tcPr>
            <w:tcW w:w="2917" w:type="dxa"/>
            <w:tcBorders>
              <w:top w:val="nil"/>
              <w:left w:val="nil"/>
              <w:bottom w:val="nil"/>
              <w:right w:val="nil"/>
            </w:tcBorders>
          </w:tcPr>
          <w:p w14:paraId="7C93E0A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0.357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(0.140)</w:t>
            </w:r>
          </w:p>
        </w:tc>
      </w:tr>
      <w:tr w:rsidR="000849BC" w:rsidRPr="000849BC" w14:paraId="21256746" w14:textId="77777777" w:rsidTr="00D17B7B">
        <w:tc>
          <w:tcPr>
            <w:tcW w:w="3786" w:type="dxa"/>
            <w:tcBorders>
              <w:top w:val="nil"/>
              <w:left w:val="nil"/>
              <w:bottom w:val="nil"/>
              <w:right w:val="nil"/>
            </w:tcBorders>
          </w:tcPr>
          <w:p w14:paraId="3EDAEB7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2917" w:type="dxa"/>
            <w:tcBorders>
              <w:top w:val="nil"/>
              <w:left w:val="nil"/>
              <w:bottom w:val="nil"/>
              <w:right w:val="nil"/>
            </w:tcBorders>
          </w:tcPr>
          <w:p w14:paraId="6F87397F"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–0.655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(0.115)</w:t>
            </w:r>
          </w:p>
        </w:tc>
        <w:tc>
          <w:tcPr>
            <w:tcW w:w="2917" w:type="dxa"/>
            <w:tcBorders>
              <w:top w:val="nil"/>
              <w:left w:val="nil"/>
              <w:bottom w:val="nil"/>
              <w:right w:val="nil"/>
            </w:tcBorders>
          </w:tcPr>
          <w:p w14:paraId="31B5A91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–0.745</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(0.114)</w:t>
            </w:r>
          </w:p>
        </w:tc>
      </w:tr>
      <w:tr w:rsidR="000849BC" w:rsidRPr="00256D32" w14:paraId="6124B971" w14:textId="77777777" w:rsidTr="00D17B7B">
        <w:tc>
          <w:tcPr>
            <w:tcW w:w="9620" w:type="dxa"/>
            <w:gridSpan w:val="3"/>
            <w:tcBorders>
              <w:top w:val="single" w:sz="4" w:space="0" w:color="auto"/>
              <w:left w:val="nil"/>
              <w:bottom w:val="nil"/>
              <w:right w:val="nil"/>
            </w:tcBorders>
          </w:tcPr>
          <w:p w14:paraId="32F7A293"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Case missing in NP Wave 5</w:t>
            </w:r>
          </w:p>
        </w:tc>
      </w:tr>
      <w:tr w:rsidR="000849BC" w:rsidRPr="000849BC" w14:paraId="6E52ED75" w14:textId="77777777" w:rsidTr="00D17B7B">
        <w:tc>
          <w:tcPr>
            <w:tcW w:w="3786" w:type="dxa"/>
            <w:tcBorders>
              <w:top w:val="nil"/>
              <w:left w:val="nil"/>
              <w:bottom w:val="nil"/>
              <w:right w:val="nil"/>
            </w:tcBorders>
          </w:tcPr>
          <w:p w14:paraId="58EB0E4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w:t>
            </w:r>
          </w:p>
        </w:tc>
        <w:tc>
          <w:tcPr>
            <w:tcW w:w="2917" w:type="dxa"/>
            <w:tcBorders>
              <w:top w:val="nil"/>
              <w:left w:val="nil"/>
              <w:bottom w:val="nil"/>
              <w:right w:val="nil"/>
            </w:tcBorders>
          </w:tcPr>
          <w:p w14:paraId="4C90692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0.721</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(0.118)</w:t>
            </w:r>
          </w:p>
        </w:tc>
        <w:tc>
          <w:tcPr>
            <w:tcW w:w="2917" w:type="dxa"/>
            <w:tcBorders>
              <w:top w:val="nil"/>
              <w:left w:val="nil"/>
              <w:bottom w:val="nil"/>
              <w:right w:val="nil"/>
            </w:tcBorders>
          </w:tcPr>
          <w:p w14:paraId="5B1FCEF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0.732</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(0.115)</w:t>
            </w:r>
          </w:p>
        </w:tc>
      </w:tr>
      <w:tr w:rsidR="000849BC" w:rsidRPr="000849BC" w14:paraId="55FC2B23" w14:textId="77777777" w:rsidTr="00D17B7B">
        <w:tc>
          <w:tcPr>
            <w:tcW w:w="3786" w:type="dxa"/>
            <w:tcBorders>
              <w:top w:val="nil"/>
              <w:left w:val="nil"/>
              <w:bottom w:val="nil"/>
              <w:right w:val="nil"/>
            </w:tcBorders>
          </w:tcPr>
          <w:p w14:paraId="7E6C8FA5"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Ability measure</w:t>
            </w:r>
          </w:p>
        </w:tc>
        <w:tc>
          <w:tcPr>
            <w:tcW w:w="2917" w:type="dxa"/>
            <w:tcBorders>
              <w:top w:val="nil"/>
              <w:left w:val="nil"/>
              <w:bottom w:val="nil"/>
              <w:right w:val="nil"/>
            </w:tcBorders>
          </w:tcPr>
          <w:p w14:paraId="25CFAD98"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0.216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(0.067)</w:t>
            </w:r>
          </w:p>
        </w:tc>
        <w:tc>
          <w:tcPr>
            <w:tcW w:w="2917" w:type="dxa"/>
            <w:tcBorders>
              <w:top w:val="nil"/>
              <w:left w:val="nil"/>
              <w:bottom w:val="nil"/>
              <w:right w:val="nil"/>
            </w:tcBorders>
          </w:tcPr>
          <w:p w14:paraId="2B43756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0.168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(0.065)</w:t>
            </w:r>
          </w:p>
        </w:tc>
      </w:tr>
      <w:tr w:rsidR="000849BC" w:rsidRPr="000849BC" w14:paraId="34E4C4B1" w14:textId="77777777" w:rsidTr="00D17B7B">
        <w:tc>
          <w:tcPr>
            <w:tcW w:w="3786" w:type="dxa"/>
            <w:tcBorders>
              <w:top w:val="nil"/>
              <w:left w:val="nil"/>
              <w:bottom w:val="nil"/>
              <w:right w:val="nil"/>
            </w:tcBorders>
          </w:tcPr>
          <w:p w14:paraId="460FD06E"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Higher social background x Ability measure</w:t>
            </w:r>
          </w:p>
        </w:tc>
        <w:tc>
          <w:tcPr>
            <w:tcW w:w="2917" w:type="dxa"/>
            <w:tcBorders>
              <w:top w:val="nil"/>
              <w:left w:val="nil"/>
              <w:bottom w:val="nil"/>
              <w:right w:val="nil"/>
            </w:tcBorders>
          </w:tcPr>
          <w:p w14:paraId="67BBE952"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0.310</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(0.119)</w:t>
            </w:r>
          </w:p>
        </w:tc>
        <w:tc>
          <w:tcPr>
            <w:tcW w:w="2917" w:type="dxa"/>
            <w:tcBorders>
              <w:top w:val="nil"/>
              <w:left w:val="nil"/>
              <w:bottom w:val="nil"/>
              <w:right w:val="nil"/>
            </w:tcBorders>
          </w:tcPr>
          <w:p w14:paraId="2EF2D51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0.306</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(0.116)</w:t>
            </w:r>
          </w:p>
        </w:tc>
      </w:tr>
      <w:tr w:rsidR="000849BC" w:rsidRPr="000849BC" w14:paraId="50335099" w14:textId="77777777" w:rsidTr="00D17B7B">
        <w:tc>
          <w:tcPr>
            <w:tcW w:w="3786" w:type="dxa"/>
            <w:tcBorders>
              <w:top w:val="nil"/>
              <w:left w:val="nil"/>
              <w:bottom w:val="single" w:sz="4" w:space="0" w:color="auto"/>
              <w:right w:val="nil"/>
            </w:tcBorders>
          </w:tcPr>
          <w:p w14:paraId="475A9A22"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Constant</w:t>
            </w:r>
          </w:p>
        </w:tc>
        <w:tc>
          <w:tcPr>
            <w:tcW w:w="2917" w:type="dxa"/>
            <w:tcBorders>
              <w:top w:val="nil"/>
              <w:left w:val="nil"/>
              <w:bottom w:val="single" w:sz="4" w:space="0" w:color="auto"/>
              <w:right w:val="nil"/>
            </w:tcBorders>
          </w:tcPr>
          <w:p w14:paraId="79D7F06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–0.378</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(0.102)</w:t>
            </w:r>
          </w:p>
        </w:tc>
        <w:tc>
          <w:tcPr>
            <w:tcW w:w="2917" w:type="dxa"/>
            <w:tcBorders>
              <w:top w:val="nil"/>
              <w:left w:val="nil"/>
              <w:bottom w:val="single" w:sz="4" w:space="0" w:color="auto"/>
              <w:right w:val="nil"/>
            </w:tcBorders>
          </w:tcPr>
          <w:p w14:paraId="6C2E886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–0.427</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br/>
              <w:t>(0.100)</w:t>
            </w:r>
          </w:p>
        </w:tc>
      </w:tr>
      <w:tr w:rsidR="000849BC" w:rsidRPr="000849BC" w14:paraId="7CE8A1C7" w14:textId="77777777" w:rsidTr="00D17B7B">
        <w:tc>
          <w:tcPr>
            <w:tcW w:w="3786" w:type="dxa"/>
            <w:tcBorders>
              <w:top w:val="single" w:sz="4" w:space="0" w:color="auto"/>
              <w:left w:val="nil"/>
              <w:bottom w:val="nil"/>
              <w:right w:val="nil"/>
            </w:tcBorders>
          </w:tcPr>
          <w:p w14:paraId="5BA7E98D"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LR χ</w:t>
            </w:r>
            <w:r w:rsidRPr="000849BC">
              <w:rPr>
                <w:rFonts w:eastAsiaTheme="minorEastAsia" w:cs="Times New Roman"/>
                <w:sz w:val="20"/>
                <w:szCs w:val="20"/>
                <w:vertAlign w:val="superscript"/>
                <w:lang w:val="en-US" w:eastAsia="ru-RU"/>
              </w:rPr>
              <w:t>2</w:t>
            </w:r>
          </w:p>
        </w:tc>
        <w:tc>
          <w:tcPr>
            <w:tcW w:w="2917" w:type="dxa"/>
            <w:tcBorders>
              <w:top w:val="single" w:sz="4" w:space="0" w:color="auto"/>
              <w:left w:val="nil"/>
              <w:bottom w:val="nil"/>
              <w:right w:val="nil"/>
            </w:tcBorders>
          </w:tcPr>
          <w:p w14:paraId="53B7BC9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1254.1</w:t>
            </w:r>
            <w:r w:rsidRPr="000849BC">
              <w:rPr>
                <w:rFonts w:eastAsiaTheme="minorEastAsia" w:cs="Times New Roman"/>
                <w:sz w:val="20"/>
                <w:szCs w:val="20"/>
                <w:vertAlign w:val="superscript"/>
                <w:lang w:val="en-US" w:eastAsia="ru-RU"/>
              </w:rPr>
              <w:t>***</w:t>
            </w:r>
          </w:p>
        </w:tc>
        <w:tc>
          <w:tcPr>
            <w:tcW w:w="2917" w:type="dxa"/>
            <w:tcBorders>
              <w:top w:val="single" w:sz="4" w:space="0" w:color="auto"/>
              <w:left w:val="nil"/>
              <w:bottom w:val="nil"/>
              <w:right w:val="nil"/>
            </w:tcBorders>
          </w:tcPr>
          <w:p w14:paraId="4ACB863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1183.1</w:t>
            </w:r>
            <w:r w:rsidRPr="000849BC">
              <w:rPr>
                <w:rFonts w:eastAsiaTheme="minorEastAsia" w:cs="Times New Roman"/>
                <w:sz w:val="20"/>
                <w:szCs w:val="20"/>
                <w:vertAlign w:val="superscript"/>
                <w:lang w:val="en-US" w:eastAsia="ru-RU"/>
              </w:rPr>
              <w:t>***</w:t>
            </w:r>
          </w:p>
        </w:tc>
      </w:tr>
      <w:tr w:rsidR="000849BC" w:rsidRPr="000849BC" w14:paraId="0F470E8D" w14:textId="77777777" w:rsidTr="00D17B7B">
        <w:tc>
          <w:tcPr>
            <w:tcW w:w="3786" w:type="dxa"/>
            <w:tcBorders>
              <w:top w:val="nil"/>
              <w:left w:val="nil"/>
              <w:bottom w:val="nil"/>
              <w:right w:val="nil"/>
            </w:tcBorders>
          </w:tcPr>
          <w:p w14:paraId="0393392C"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Pseudo-R</w:t>
            </w:r>
            <w:r w:rsidRPr="000849BC">
              <w:rPr>
                <w:rFonts w:eastAsiaTheme="minorEastAsia" w:cs="Times New Roman"/>
                <w:sz w:val="20"/>
                <w:szCs w:val="20"/>
                <w:vertAlign w:val="superscript"/>
                <w:lang w:val="en-US" w:eastAsia="ru-RU"/>
              </w:rPr>
              <w:t>2</w:t>
            </w:r>
          </w:p>
        </w:tc>
        <w:tc>
          <w:tcPr>
            <w:tcW w:w="2917" w:type="dxa"/>
            <w:tcBorders>
              <w:top w:val="nil"/>
              <w:left w:val="nil"/>
              <w:bottom w:val="nil"/>
              <w:right w:val="nil"/>
            </w:tcBorders>
          </w:tcPr>
          <w:p w14:paraId="4204F36C"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0.103</w:t>
            </w:r>
          </w:p>
        </w:tc>
        <w:tc>
          <w:tcPr>
            <w:tcW w:w="2917" w:type="dxa"/>
            <w:tcBorders>
              <w:top w:val="nil"/>
              <w:left w:val="nil"/>
              <w:bottom w:val="nil"/>
              <w:right w:val="nil"/>
            </w:tcBorders>
          </w:tcPr>
          <w:p w14:paraId="52FB570A"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0.098</w:t>
            </w:r>
          </w:p>
        </w:tc>
      </w:tr>
      <w:tr w:rsidR="000849BC" w:rsidRPr="000849BC" w14:paraId="4BE358E5" w14:textId="77777777" w:rsidTr="00D17B7B">
        <w:tc>
          <w:tcPr>
            <w:tcW w:w="3786" w:type="dxa"/>
            <w:tcBorders>
              <w:top w:val="nil"/>
              <w:left w:val="nil"/>
              <w:bottom w:val="nil"/>
              <w:right w:val="nil"/>
            </w:tcBorders>
          </w:tcPr>
          <w:p w14:paraId="3405EAA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proofErr w:type="spellStart"/>
            <w:r w:rsidRPr="000849BC">
              <w:rPr>
                <w:rFonts w:eastAsiaTheme="minorEastAsia" w:cs="Times New Roman"/>
                <w:i/>
                <w:iCs/>
                <w:sz w:val="20"/>
                <w:szCs w:val="20"/>
                <w:lang w:val="en-US" w:eastAsia="ru-RU"/>
              </w:rPr>
              <w:t>df</w:t>
            </w:r>
            <w:proofErr w:type="spellEnd"/>
          </w:p>
        </w:tc>
        <w:tc>
          <w:tcPr>
            <w:tcW w:w="2917" w:type="dxa"/>
            <w:tcBorders>
              <w:top w:val="nil"/>
              <w:left w:val="nil"/>
              <w:bottom w:val="nil"/>
              <w:right w:val="nil"/>
            </w:tcBorders>
          </w:tcPr>
          <w:p w14:paraId="6206C6D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24</w:t>
            </w:r>
          </w:p>
        </w:tc>
        <w:tc>
          <w:tcPr>
            <w:tcW w:w="2917" w:type="dxa"/>
            <w:tcBorders>
              <w:top w:val="nil"/>
              <w:left w:val="nil"/>
              <w:bottom w:val="nil"/>
              <w:right w:val="nil"/>
            </w:tcBorders>
          </w:tcPr>
          <w:p w14:paraId="39069087"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24</w:t>
            </w:r>
          </w:p>
        </w:tc>
      </w:tr>
      <w:tr w:rsidR="000849BC" w:rsidRPr="000849BC" w14:paraId="2B4CDE0A" w14:textId="77777777" w:rsidTr="00D17B7B">
        <w:tc>
          <w:tcPr>
            <w:tcW w:w="3786" w:type="dxa"/>
            <w:tcBorders>
              <w:top w:val="nil"/>
              <w:left w:val="nil"/>
              <w:bottom w:val="nil"/>
              <w:right w:val="nil"/>
            </w:tcBorders>
          </w:tcPr>
          <w:p w14:paraId="6BD61877"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N</w:t>
            </w:r>
          </w:p>
        </w:tc>
        <w:tc>
          <w:tcPr>
            <w:tcW w:w="2917" w:type="dxa"/>
            <w:tcBorders>
              <w:top w:val="nil"/>
              <w:left w:val="nil"/>
              <w:bottom w:val="nil"/>
              <w:right w:val="nil"/>
            </w:tcBorders>
          </w:tcPr>
          <w:p w14:paraId="0F756DD1"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4,308</w:t>
            </w:r>
          </w:p>
        </w:tc>
        <w:tc>
          <w:tcPr>
            <w:tcW w:w="2917" w:type="dxa"/>
            <w:tcBorders>
              <w:top w:val="nil"/>
              <w:left w:val="nil"/>
              <w:bottom w:val="nil"/>
              <w:right w:val="nil"/>
            </w:tcBorders>
          </w:tcPr>
          <w:p w14:paraId="2702A3A6"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4,308</w:t>
            </w:r>
          </w:p>
        </w:tc>
      </w:tr>
      <w:tr w:rsidR="000849BC" w:rsidRPr="000849BC" w14:paraId="041489E4" w14:textId="77777777" w:rsidTr="00D17B7B">
        <w:tc>
          <w:tcPr>
            <w:tcW w:w="3786" w:type="dxa"/>
            <w:tcBorders>
              <w:top w:val="nil"/>
              <w:left w:val="nil"/>
              <w:right w:val="nil"/>
            </w:tcBorders>
          </w:tcPr>
          <w:p w14:paraId="3EEEEB17"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χ</w:t>
            </w:r>
            <w:r w:rsidRPr="000849BC">
              <w:rPr>
                <w:rFonts w:eastAsiaTheme="minorEastAsia" w:cs="Times New Roman"/>
                <w:sz w:val="20"/>
                <w:szCs w:val="20"/>
                <w:vertAlign w:val="superscript"/>
                <w:lang w:val="en-US" w:eastAsia="ru-RU"/>
              </w:rPr>
              <w:t>2</w:t>
            </w:r>
            <w:r w:rsidRPr="000849BC">
              <w:rPr>
                <w:rFonts w:eastAsiaTheme="minorEastAsia" w:cs="Times New Roman"/>
                <w:sz w:val="20"/>
                <w:szCs w:val="20"/>
                <w:lang w:val="en-US" w:eastAsia="ru-RU"/>
              </w:rPr>
              <w:t xml:space="preserve"> for the Wald test of the interaction effect</w:t>
            </w:r>
          </w:p>
        </w:tc>
        <w:tc>
          <w:tcPr>
            <w:tcW w:w="2917" w:type="dxa"/>
            <w:tcBorders>
              <w:top w:val="nil"/>
              <w:left w:val="nil"/>
              <w:right w:val="nil"/>
            </w:tcBorders>
          </w:tcPr>
          <w:p w14:paraId="6EBDB9CE"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6.860</w:t>
            </w:r>
          </w:p>
        </w:tc>
        <w:tc>
          <w:tcPr>
            <w:tcW w:w="2917" w:type="dxa"/>
            <w:tcBorders>
              <w:top w:val="nil"/>
              <w:left w:val="nil"/>
              <w:right w:val="nil"/>
            </w:tcBorders>
          </w:tcPr>
          <w:p w14:paraId="7F8DF59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9.958</w:t>
            </w:r>
            <w:r w:rsidRPr="000849BC">
              <w:rPr>
                <w:rFonts w:eastAsiaTheme="minorEastAsia" w:cs="Times New Roman"/>
                <w:sz w:val="20"/>
                <w:szCs w:val="20"/>
                <w:vertAlign w:val="superscript"/>
                <w:lang w:val="en-US" w:eastAsia="ru-RU"/>
              </w:rPr>
              <w:t>*</w:t>
            </w:r>
          </w:p>
        </w:tc>
      </w:tr>
      <w:tr w:rsidR="000849BC" w:rsidRPr="000849BC" w14:paraId="2B26E5D3" w14:textId="77777777" w:rsidTr="00D17B7B">
        <w:tc>
          <w:tcPr>
            <w:tcW w:w="3786" w:type="dxa"/>
            <w:tcBorders>
              <w:top w:val="nil"/>
              <w:left w:val="nil"/>
              <w:bottom w:val="single" w:sz="4" w:space="0" w:color="auto"/>
              <w:right w:val="nil"/>
            </w:tcBorders>
          </w:tcPr>
          <w:p w14:paraId="22FA9B10"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sz w:val="20"/>
                <w:szCs w:val="20"/>
                <w:lang w:val="en-US" w:eastAsia="ru-RU"/>
              </w:rPr>
              <w:t>χ</w:t>
            </w:r>
            <w:r w:rsidRPr="000849BC">
              <w:rPr>
                <w:rFonts w:eastAsiaTheme="minorEastAsia" w:cs="Times New Roman"/>
                <w:sz w:val="20"/>
                <w:szCs w:val="20"/>
                <w:vertAlign w:val="superscript"/>
                <w:lang w:val="en-US" w:eastAsia="ru-RU"/>
              </w:rPr>
              <w:t>2</w:t>
            </w:r>
            <w:r w:rsidRPr="000849BC">
              <w:rPr>
                <w:rFonts w:eastAsiaTheme="minorEastAsia" w:cs="Times New Roman"/>
                <w:sz w:val="20"/>
                <w:szCs w:val="20"/>
                <w:lang w:val="en-US" w:eastAsia="ru-RU"/>
              </w:rPr>
              <w:t xml:space="preserve"> for the Likelihood-ratio test of the interaction effect</w:t>
            </w:r>
          </w:p>
        </w:tc>
        <w:tc>
          <w:tcPr>
            <w:tcW w:w="2917" w:type="dxa"/>
            <w:tcBorders>
              <w:top w:val="nil"/>
              <w:left w:val="nil"/>
              <w:bottom w:val="single" w:sz="4" w:space="0" w:color="auto"/>
              <w:right w:val="nil"/>
            </w:tcBorders>
          </w:tcPr>
          <w:p w14:paraId="031B873D"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6.917</w:t>
            </w:r>
          </w:p>
        </w:tc>
        <w:tc>
          <w:tcPr>
            <w:tcW w:w="2917" w:type="dxa"/>
            <w:tcBorders>
              <w:top w:val="nil"/>
              <w:left w:val="nil"/>
              <w:bottom w:val="single" w:sz="4" w:space="0" w:color="auto"/>
              <w:right w:val="nil"/>
            </w:tcBorders>
          </w:tcPr>
          <w:p w14:paraId="521FDB24" w14:textId="77777777" w:rsidR="000849BC" w:rsidRPr="000849BC" w:rsidRDefault="000849BC" w:rsidP="000849BC">
            <w:pPr>
              <w:widowControl w:val="0"/>
              <w:autoSpaceDE w:val="0"/>
              <w:autoSpaceDN w:val="0"/>
              <w:adjustRightInd w:val="0"/>
              <w:spacing w:line="240" w:lineRule="auto"/>
              <w:ind w:firstLine="0"/>
              <w:jc w:val="center"/>
              <w:rPr>
                <w:rFonts w:eastAsiaTheme="minorEastAsia" w:cs="Times New Roman"/>
                <w:sz w:val="20"/>
                <w:szCs w:val="20"/>
                <w:lang w:val="en-US" w:eastAsia="ru-RU"/>
              </w:rPr>
            </w:pPr>
            <w:r w:rsidRPr="000849BC">
              <w:rPr>
                <w:rFonts w:eastAsiaTheme="minorEastAsia" w:cs="Times New Roman"/>
                <w:sz w:val="20"/>
                <w:szCs w:val="20"/>
                <w:lang w:val="en-US" w:eastAsia="ru-RU"/>
              </w:rPr>
              <w:t>10.080</w:t>
            </w:r>
            <w:r w:rsidRPr="000849BC">
              <w:rPr>
                <w:rFonts w:eastAsiaTheme="minorEastAsia" w:cs="Times New Roman"/>
                <w:sz w:val="20"/>
                <w:szCs w:val="20"/>
                <w:vertAlign w:val="superscript"/>
                <w:lang w:val="en-US" w:eastAsia="ru-RU"/>
              </w:rPr>
              <w:t>*</w:t>
            </w:r>
          </w:p>
        </w:tc>
      </w:tr>
    </w:tbl>
    <w:p w14:paraId="0E4B8FCB" w14:textId="77777777" w:rsidR="000849BC" w:rsidRPr="000849BC" w:rsidRDefault="000849BC" w:rsidP="000849BC">
      <w:pPr>
        <w:widowControl w:val="0"/>
        <w:autoSpaceDE w:val="0"/>
        <w:autoSpaceDN w:val="0"/>
        <w:adjustRightInd w:val="0"/>
        <w:spacing w:line="240" w:lineRule="auto"/>
        <w:ind w:firstLine="0"/>
        <w:jc w:val="left"/>
        <w:rPr>
          <w:rFonts w:eastAsiaTheme="minorEastAsia" w:cs="Times New Roman"/>
          <w:sz w:val="20"/>
          <w:szCs w:val="20"/>
          <w:lang w:val="en-US" w:eastAsia="ru-RU"/>
        </w:rPr>
      </w:pPr>
      <w:r w:rsidRPr="000849BC">
        <w:rPr>
          <w:rFonts w:eastAsiaTheme="minorEastAsia" w:cs="Times New Roman"/>
          <w:i/>
          <w:iCs/>
          <w:sz w:val="20"/>
          <w:szCs w:val="20"/>
          <w:lang w:val="en-US" w:eastAsia="ru-RU"/>
        </w:rPr>
        <w:t>Notes:</w:t>
      </w:r>
      <w:r w:rsidRPr="000849BC">
        <w:rPr>
          <w:rFonts w:eastAsiaTheme="minorEastAsia" w:cs="Times New Roman"/>
          <w:sz w:val="20"/>
          <w:szCs w:val="20"/>
          <w:lang w:val="en-US" w:eastAsia="ru-RU"/>
        </w:rPr>
        <w:t xml:space="preserve"> All models include controls for sex and TIMSS residence area (suppressed in tables). Main values are </w:t>
      </w:r>
      <w:proofErr w:type="spellStart"/>
      <w:r w:rsidRPr="000849BC">
        <w:rPr>
          <w:rFonts w:eastAsiaTheme="minorEastAsia" w:cs="Times New Roman"/>
          <w:sz w:val="20"/>
          <w:szCs w:val="20"/>
          <w:lang w:val="en-US" w:eastAsia="ru-RU"/>
        </w:rPr>
        <w:t>logit</w:t>
      </w:r>
      <w:proofErr w:type="spellEnd"/>
      <w:r w:rsidRPr="000849BC">
        <w:rPr>
          <w:rFonts w:eastAsiaTheme="minorEastAsia" w:cs="Times New Roman"/>
          <w:sz w:val="20"/>
          <w:szCs w:val="20"/>
          <w:lang w:val="en-US" w:eastAsia="ru-RU"/>
        </w:rPr>
        <w:t xml:space="preserve"> coefficients. Standard errors provided in parentheses. </w:t>
      </w:r>
      <w:r w:rsidRPr="000849BC">
        <w:rPr>
          <w:rFonts w:eastAsiaTheme="minorEastAsia" w:cs="Times New Roman"/>
          <w:i/>
          <w:iCs/>
          <w:sz w:val="20"/>
          <w:szCs w:val="20"/>
          <w:lang w:val="en-US" w:eastAsia="ru-RU"/>
        </w:rPr>
        <w:t>Source:</w:t>
      </w:r>
      <w:r w:rsidRPr="000849BC">
        <w:rPr>
          <w:rFonts w:eastAsiaTheme="minorEastAsia" w:cs="Times New Roman"/>
          <w:sz w:val="20"/>
          <w:szCs w:val="20"/>
          <w:lang w:val="en-US" w:eastAsia="ru-RU"/>
        </w:rPr>
        <w:t xml:space="preserve"> </w:t>
      </w:r>
      <w:proofErr w:type="spellStart"/>
      <w:r w:rsidRPr="000849BC">
        <w:rPr>
          <w:rFonts w:eastAsiaTheme="minorEastAsia" w:cs="Times New Roman"/>
          <w:sz w:val="20"/>
          <w:szCs w:val="20"/>
          <w:lang w:val="en-US" w:eastAsia="ru-RU"/>
        </w:rPr>
        <w:t>TrEC</w:t>
      </w:r>
      <w:proofErr w:type="spellEnd"/>
      <w:r w:rsidRPr="000849BC">
        <w:rPr>
          <w:rFonts w:eastAsiaTheme="minorEastAsia" w:cs="Times New Roman"/>
          <w:sz w:val="20"/>
          <w:szCs w:val="20"/>
          <w:lang w:val="en-US" w:eastAsia="ru-RU"/>
        </w:rPr>
        <w:t xml:space="preserve">; own calculations.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proofErr w:type="gramStart"/>
      <w:r w:rsidRPr="000849BC">
        <w:rPr>
          <w:rFonts w:eastAsiaTheme="minorEastAsia" w:cs="Times New Roman"/>
          <w:i/>
          <w:iCs/>
          <w:sz w:val="20"/>
          <w:szCs w:val="20"/>
          <w:lang w:val="en-US" w:eastAsia="ru-RU"/>
        </w:rPr>
        <w:t>p</w:t>
      </w:r>
      <w:proofErr w:type="gramEnd"/>
      <w:r w:rsidRPr="000849BC">
        <w:rPr>
          <w:rFonts w:eastAsiaTheme="minorEastAsia" w:cs="Times New Roman"/>
          <w:sz w:val="20"/>
          <w:szCs w:val="20"/>
          <w:lang w:val="en-US" w:eastAsia="ru-RU"/>
        </w:rPr>
        <w:t xml:space="preserve"> &lt; 0.05,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r w:rsidRPr="000849BC">
        <w:rPr>
          <w:rFonts w:eastAsiaTheme="minorEastAsia" w:cs="Times New Roman"/>
          <w:i/>
          <w:iCs/>
          <w:sz w:val="20"/>
          <w:szCs w:val="20"/>
          <w:lang w:val="en-US" w:eastAsia="ru-RU"/>
        </w:rPr>
        <w:t>p</w:t>
      </w:r>
      <w:r w:rsidRPr="000849BC">
        <w:rPr>
          <w:rFonts w:eastAsiaTheme="minorEastAsia" w:cs="Times New Roman"/>
          <w:sz w:val="20"/>
          <w:szCs w:val="20"/>
          <w:lang w:val="en-US" w:eastAsia="ru-RU"/>
        </w:rPr>
        <w:t xml:space="preserve"> &lt; 0.01, </w:t>
      </w:r>
      <w:r w:rsidRPr="000849BC">
        <w:rPr>
          <w:rFonts w:eastAsiaTheme="minorEastAsia" w:cs="Times New Roman"/>
          <w:sz w:val="20"/>
          <w:szCs w:val="20"/>
          <w:vertAlign w:val="superscript"/>
          <w:lang w:val="en-US" w:eastAsia="ru-RU"/>
        </w:rPr>
        <w:t>***</w:t>
      </w:r>
      <w:r w:rsidRPr="000849BC">
        <w:rPr>
          <w:rFonts w:eastAsiaTheme="minorEastAsia" w:cs="Times New Roman"/>
          <w:sz w:val="20"/>
          <w:szCs w:val="20"/>
          <w:lang w:val="en-US" w:eastAsia="ru-RU"/>
        </w:rPr>
        <w:t xml:space="preserve"> </w:t>
      </w:r>
      <w:r w:rsidRPr="000849BC">
        <w:rPr>
          <w:rFonts w:eastAsiaTheme="minorEastAsia" w:cs="Times New Roman"/>
          <w:i/>
          <w:iCs/>
          <w:sz w:val="20"/>
          <w:szCs w:val="20"/>
          <w:lang w:val="en-US" w:eastAsia="ru-RU"/>
        </w:rPr>
        <w:t>p</w:t>
      </w:r>
      <w:r w:rsidRPr="000849BC">
        <w:rPr>
          <w:rFonts w:eastAsiaTheme="minorEastAsia" w:cs="Times New Roman"/>
          <w:sz w:val="20"/>
          <w:szCs w:val="20"/>
          <w:lang w:val="en-US" w:eastAsia="ru-RU"/>
        </w:rPr>
        <w:t xml:space="preserve"> &lt; 0.001</w:t>
      </w:r>
    </w:p>
    <w:p w14:paraId="20C20FFB" w14:textId="77777777" w:rsidR="000849BC" w:rsidRPr="00C35151" w:rsidRDefault="000849BC" w:rsidP="00C35151">
      <w:pPr>
        <w:ind w:firstLine="0"/>
        <w:rPr>
          <w:lang w:val="en-US"/>
        </w:rPr>
      </w:pPr>
    </w:p>
    <w:sectPr w:rsidR="000849BC" w:rsidRPr="00C35151" w:rsidSect="005A2B9F">
      <w:endnotePr>
        <w:numFmt w:val="decimal"/>
      </w:endnotePr>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AA20B" w14:textId="77777777" w:rsidR="004D07C4" w:rsidRPr="00815B63" w:rsidRDefault="004D07C4" w:rsidP="00815B63">
      <w:pPr>
        <w:pStyle w:val="Footer"/>
      </w:pPr>
    </w:p>
  </w:endnote>
  <w:endnote w:type="continuationSeparator" w:id="0">
    <w:p w14:paraId="25F008E6" w14:textId="77777777" w:rsidR="004D07C4" w:rsidRPr="00815B63" w:rsidRDefault="004D07C4" w:rsidP="00815B63">
      <w:pPr>
        <w:pStyle w:val="Footer"/>
      </w:pPr>
    </w:p>
  </w:endnote>
  <w:endnote w:type="continuationNotice" w:id="1">
    <w:p w14:paraId="769CE149" w14:textId="77777777" w:rsidR="004D07C4" w:rsidRPr="00815B63" w:rsidRDefault="004D07C4" w:rsidP="00815B63">
      <w:pPr>
        <w:pStyle w:val="Footer"/>
      </w:pPr>
    </w:p>
  </w:endnote>
  <w:endnote w:id="2">
    <w:p w14:paraId="1927FD9C" w14:textId="7E52ABCA" w:rsidR="00CD1FC2" w:rsidRPr="00B809D4" w:rsidRDefault="00CD1FC2" w:rsidP="000F29E8">
      <w:pPr>
        <w:pStyle w:val="EndnoteText"/>
        <w:rPr>
          <w:lang w:val="en-US"/>
        </w:rPr>
      </w:pPr>
      <w:r w:rsidRPr="0078489B">
        <w:rPr>
          <w:rStyle w:val="EndnoteReference"/>
        </w:rPr>
        <w:endnoteRef/>
      </w:r>
      <w:r w:rsidRPr="00B809D4">
        <w:rPr>
          <w:lang w:val="en-US"/>
        </w:rPr>
        <w:t xml:space="preserve"> </w:t>
      </w:r>
      <w:r>
        <w:rPr>
          <w:lang w:val="en-US"/>
        </w:rPr>
        <w:t xml:space="preserve">Increased transitions between educational tracks can be viewed both as vice and virtue </w:t>
      </w:r>
      <w:r w:rsidRPr="00D422CF">
        <w:rPr>
          <w:lang w:val="en-US"/>
        </w:rPr>
        <w:t xml:space="preserve">depending on the institutional organization of educational systems and its connection with the national economy </w:t>
      </w:r>
      <w:r w:rsidRPr="00E52C55">
        <w:rPr>
          <w:rFonts w:cs="Times New Roman"/>
          <w:lang w:val="en-US"/>
        </w:rPr>
        <w:t>(Gavin 2008)</w:t>
      </w:r>
      <w:r w:rsidRPr="00D422CF">
        <w:rPr>
          <w:lang w:val="en-US"/>
        </w:rPr>
        <w:t>: Whereas</w:t>
      </w:r>
      <w:r>
        <w:rPr>
          <w:lang w:val="en-US"/>
        </w:rPr>
        <w:t xml:space="preserve"> in comprehensive systems, it may indeed be viewed as successful in enabling flexible educational and occupational careers, in tracked systems, higher transfer rates could be regarded as a failure to allocate students appropriately.</w:t>
      </w:r>
    </w:p>
  </w:endnote>
  <w:endnote w:id="3">
    <w:p w14:paraId="18ADC497" w14:textId="07FDE47C" w:rsidR="00CD1FC2" w:rsidRPr="001D3EC8" w:rsidRDefault="00CD1FC2">
      <w:pPr>
        <w:pStyle w:val="EndnoteText"/>
        <w:rPr>
          <w:lang w:val="en-US"/>
        </w:rPr>
      </w:pPr>
      <w:r>
        <w:rPr>
          <w:rStyle w:val="EndnoteReference"/>
        </w:rPr>
        <w:endnoteRef/>
      </w:r>
      <w:r w:rsidRPr="001D3EC8">
        <w:rPr>
          <w:lang w:val="en-US"/>
        </w:rPr>
        <w:t xml:space="preserve"> </w:t>
      </w:r>
      <w:proofErr w:type="gramStart"/>
      <w:r>
        <w:rPr>
          <w:lang w:val="en-US"/>
        </w:rPr>
        <w:t xml:space="preserve">The </w:t>
      </w:r>
      <w:r w:rsidRPr="001D3EC8">
        <w:rPr>
          <w:lang w:val="en-US"/>
        </w:rPr>
        <w:t>Federal Law No. 273 of 29 December 2012 on Education</w:t>
      </w:r>
      <w:r>
        <w:rPr>
          <w:lang w:val="en-US"/>
        </w:rPr>
        <w:t>.</w:t>
      </w:r>
      <w:proofErr w:type="gramEnd"/>
    </w:p>
  </w:endnote>
  <w:endnote w:id="4">
    <w:p w14:paraId="53E1C2AC" w14:textId="4776C137" w:rsidR="00CD1FC2" w:rsidRPr="00EB4763" w:rsidRDefault="00CD1FC2" w:rsidP="00905CA4">
      <w:pPr>
        <w:pStyle w:val="EndnoteText"/>
        <w:rPr>
          <w:lang w:val="en-US"/>
        </w:rPr>
      </w:pPr>
      <w:r w:rsidRPr="0078489B">
        <w:rPr>
          <w:rStyle w:val="EndnoteReference"/>
        </w:rPr>
        <w:endnoteRef/>
      </w:r>
      <w:r w:rsidRPr="00EB4763">
        <w:rPr>
          <w:lang w:val="en-US"/>
        </w:rPr>
        <w:t xml:space="preserve"> </w:t>
      </w:r>
      <w:bookmarkStart w:id="2" w:name="_Hlk481335054"/>
      <w:bookmarkStart w:id="3" w:name="_Hlk481335039"/>
      <w:r>
        <w:rPr>
          <w:lang w:val="en-US"/>
        </w:rPr>
        <w:t>While USE was implemented nationally in 2009, it has been piloted in several of Russia’s regions since 2006</w:t>
      </w:r>
      <w:bookmarkEnd w:id="2"/>
      <w:bookmarkEnd w:id="3"/>
      <w:r>
        <w:rPr>
          <w:lang w:val="en-US"/>
        </w:rPr>
        <w:t>.</w:t>
      </w:r>
    </w:p>
  </w:endnote>
  <w:endnote w:id="5">
    <w:p w14:paraId="2300000A" w14:textId="72B7EAC8" w:rsidR="00CD1FC2" w:rsidRPr="00B54099" w:rsidRDefault="00CD1FC2">
      <w:pPr>
        <w:pStyle w:val="EndnoteText"/>
        <w:rPr>
          <w:lang w:val="en-US"/>
        </w:rPr>
      </w:pPr>
      <w:r w:rsidRPr="0078489B">
        <w:rPr>
          <w:rStyle w:val="EndnoteReference"/>
        </w:rPr>
        <w:endnoteRef/>
      </w:r>
      <w:r w:rsidRPr="00B54099">
        <w:rPr>
          <w:lang w:val="en-US"/>
        </w:rPr>
        <w:t xml:space="preserve"> </w:t>
      </w:r>
      <w:r>
        <w:rPr>
          <w:lang w:val="en-US"/>
        </w:rPr>
        <w:t xml:space="preserve">Not all students from the original TIMSS sample participated in PISA assessment (see </w:t>
      </w:r>
      <w:r>
        <w:rPr>
          <w:lang w:val="en-US"/>
        </w:rPr>
        <w:fldChar w:fldCharType="begin"/>
      </w:r>
      <w:r>
        <w:rPr>
          <w:lang w:val="en-US"/>
        </w:rPr>
        <w:instrText xml:space="preserve"> REF _Ref475719344 \h </w:instrText>
      </w:r>
      <w:r>
        <w:rPr>
          <w:lang w:val="en-US"/>
        </w:rPr>
      </w:r>
      <w:r>
        <w:rPr>
          <w:lang w:val="en-US"/>
        </w:rPr>
        <w:fldChar w:fldCharType="separate"/>
      </w:r>
      <w:r w:rsidRPr="006F4E3D">
        <w:rPr>
          <w:lang w:val="en-US"/>
        </w:rPr>
        <w:t xml:space="preserve">Table </w:t>
      </w:r>
      <w:r>
        <w:rPr>
          <w:noProof/>
          <w:lang w:val="en-US"/>
        </w:rPr>
        <w:t>1</w:t>
      </w:r>
      <w:r>
        <w:rPr>
          <w:lang w:val="en-US"/>
        </w:rPr>
        <w:fldChar w:fldCharType="end"/>
      </w:r>
      <w:r>
        <w:rPr>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14357"/>
      <w:docPartObj>
        <w:docPartGallery w:val="Page Numbers (Bottom of Page)"/>
        <w:docPartUnique/>
      </w:docPartObj>
    </w:sdtPr>
    <w:sdtEndPr>
      <w:rPr>
        <w:noProof/>
      </w:rPr>
    </w:sdtEndPr>
    <w:sdtContent>
      <w:p w14:paraId="44AA7CAB" w14:textId="7C7DC76B" w:rsidR="008D4971" w:rsidRDefault="008D4971" w:rsidP="007E2890">
        <w:pPr>
          <w:pStyle w:val="Footer"/>
          <w:ind w:firstLine="0"/>
          <w:jc w:val="center"/>
        </w:pPr>
        <w:r>
          <w:fldChar w:fldCharType="begin"/>
        </w:r>
        <w:r>
          <w:instrText xml:space="preserve"> PAGE   \* MERGEFORMAT </w:instrText>
        </w:r>
        <w:r>
          <w:fldChar w:fldCharType="separate"/>
        </w:r>
        <w:r w:rsidR="00256D32">
          <w:rPr>
            <w:noProof/>
          </w:rPr>
          <w:t>1</w:t>
        </w:r>
        <w:r>
          <w:rPr>
            <w:noProof/>
          </w:rPr>
          <w:fldChar w:fldCharType="end"/>
        </w:r>
      </w:p>
    </w:sdtContent>
  </w:sdt>
  <w:p w14:paraId="15496601" w14:textId="77777777" w:rsidR="008D4971" w:rsidRDefault="008D4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4E10A" w14:textId="77777777" w:rsidR="004D07C4" w:rsidRDefault="004D07C4" w:rsidP="00D70C5C">
      <w:pPr>
        <w:spacing w:line="240" w:lineRule="auto"/>
      </w:pPr>
      <w:r>
        <w:separator/>
      </w:r>
    </w:p>
  </w:footnote>
  <w:footnote w:type="continuationSeparator" w:id="0">
    <w:p w14:paraId="3C63A5E1" w14:textId="77777777" w:rsidR="004D07C4" w:rsidRDefault="004D07C4" w:rsidP="00D70C5C">
      <w:pPr>
        <w:spacing w:line="240" w:lineRule="auto"/>
      </w:pPr>
      <w:r>
        <w:continuationSeparator/>
      </w:r>
    </w:p>
  </w:footnote>
  <w:footnote w:id="1">
    <w:p w14:paraId="78C78EF6" w14:textId="42331C34" w:rsidR="00AE0A31" w:rsidRPr="00AE0A31" w:rsidRDefault="00AE0A31" w:rsidP="00136B2A">
      <w:pPr>
        <w:pStyle w:val="FootnoteText"/>
        <w:jc w:val="left"/>
        <w:rPr>
          <w:lang w:val="en-US"/>
        </w:rPr>
      </w:pPr>
      <w:r>
        <w:rPr>
          <w:rStyle w:val="FootnoteReference"/>
        </w:rPr>
        <w:footnoteRef/>
      </w:r>
      <w:r w:rsidRPr="00136B2A">
        <w:rPr>
          <w:lang w:val="en-US"/>
        </w:rPr>
        <w:t xml:space="preserve"> </w:t>
      </w:r>
      <w:r w:rsidR="00136B2A" w:rsidRPr="00136B2A">
        <w:rPr>
          <w:lang w:val="en-US"/>
        </w:rPr>
        <w:t xml:space="preserve">European University Institute, San </w:t>
      </w:r>
      <w:proofErr w:type="spellStart"/>
      <w:r w:rsidR="00136B2A" w:rsidRPr="00136B2A">
        <w:rPr>
          <w:lang w:val="en-US"/>
        </w:rPr>
        <w:t>Domenico</w:t>
      </w:r>
      <w:proofErr w:type="spellEnd"/>
      <w:r w:rsidR="00136B2A" w:rsidRPr="00136B2A">
        <w:rPr>
          <w:lang w:val="en-US"/>
        </w:rPr>
        <w:t xml:space="preserve"> di Fiesole, Italy</w:t>
      </w:r>
      <w:r w:rsidR="000A0D64">
        <w:rPr>
          <w:lang w:val="en-US"/>
        </w:rPr>
        <w:t xml:space="preserve">; </w:t>
      </w:r>
      <w:r w:rsidR="000A0D64" w:rsidRPr="00136B2A">
        <w:rPr>
          <w:lang w:val="en-US"/>
        </w:rPr>
        <w:t>National Research University Higher School of Economics, Moscow, Russia</w:t>
      </w:r>
      <w:r w:rsidR="000A0D64">
        <w:rPr>
          <w:lang w:val="en-US"/>
        </w:rPr>
        <w:t>;</w:t>
      </w:r>
      <w:r w:rsidR="00136B2A">
        <w:rPr>
          <w:lang w:val="en-US"/>
        </w:rPr>
        <w:t xml:space="preserve"> </w:t>
      </w:r>
      <w:r w:rsidR="000A0D64">
        <w:rPr>
          <w:lang w:val="en-US"/>
        </w:rPr>
        <w:t>c</w:t>
      </w:r>
      <w:r w:rsidR="00136B2A">
        <w:rPr>
          <w:lang w:val="en-US"/>
        </w:rPr>
        <w:t>orresponding author (</w:t>
      </w:r>
      <w:hyperlink r:id="rId1" w:history="1">
        <w:r w:rsidR="00136B2A" w:rsidRPr="00623F33">
          <w:rPr>
            <w:rStyle w:val="Hyperlink"/>
            <w:lang w:val="en-US"/>
          </w:rPr>
          <w:t>gordey.yastrebov@gmail.com</w:t>
        </w:r>
      </w:hyperlink>
      <w:r w:rsidR="00136B2A">
        <w:rPr>
          <w:lang w:val="en-US"/>
        </w:rPr>
        <w:t xml:space="preserve">) </w:t>
      </w:r>
    </w:p>
  </w:footnote>
  <w:footnote w:id="2">
    <w:p w14:paraId="341BA34D" w14:textId="6C8FFA47" w:rsidR="00AE0A31" w:rsidRPr="00136B2A" w:rsidRDefault="00AE0A31">
      <w:pPr>
        <w:pStyle w:val="FootnoteText"/>
        <w:rPr>
          <w:lang w:val="en-US"/>
        </w:rPr>
      </w:pPr>
      <w:r>
        <w:rPr>
          <w:rStyle w:val="FootnoteReference"/>
        </w:rPr>
        <w:footnoteRef/>
      </w:r>
      <w:r w:rsidRPr="00136B2A">
        <w:rPr>
          <w:lang w:val="en-US"/>
        </w:rPr>
        <w:t xml:space="preserve"> </w:t>
      </w:r>
      <w:r w:rsidR="00136B2A" w:rsidRPr="00136B2A">
        <w:rPr>
          <w:lang w:val="en-US"/>
        </w:rPr>
        <w:t>Institute for Employment Research (IAB), Nuremberg, Germany</w:t>
      </w:r>
    </w:p>
  </w:footnote>
  <w:footnote w:id="3">
    <w:p w14:paraId="7A501556" w14:textId="340FE459" w:rsidR="00AE0A31" w:rsidRPr="00136B2A" w:rsidRDefault="00AE0A31">
      <w:pPr>
        <w:pStyle w:val="FootnoteText"/>
        <w:rPr>
          <w:lang w:val="en-US"/>
        </w:rPr>
      </w:pPr>
      <w:r>
        <w:rPr>
          <w:rStyle w:val="FootnoteReference"/>
        </w:rPr>
        <w:footnoteRef/>
      </w:r>
      <w:r w:rsidRPr="00136B2A">
        <w:rPr>
          <w:lang w:val="en-US"/>
        </w:rPr>
        <w:t xml:space="preserve"> </w:t>
      </w:r>
      <w:r w:rsidR="00136B2A" w:rsidRPr="00136B2A">
        <w:rPr>
          <w:lang w:val="en-US"/>
        </w:rPr>
        <w:t>National Research University Higher School of Economics, Moscow, Russia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82E5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856E8"/>
    <w:multiLevelType w:val="hybridMultilevel"/>
    <w:tmpl w:val="DC74069A"/>
    <w:lvl w:ilvl="0" w:tplc="247E4210">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
    <w:nsid w:val="04AA0FCE"/>
    <w:multiLevelType w:val="hybridMultilevel"/>
    <w:tmpl w:val="E7CE8938"/>
    <w:lvl w:ilvl="0" w:tplc="AD1468A8">
      <w:start w:val="1"/>
      <w:numFmt w:val="bullet"/>
      <w:lvlText w:val="•"/>
      <w:lvlJc w:val="left"/>
      <w:pPr>
        <w:tabs>
          <w:tab w:val="num" w:pos="720"/>
        </w:tabs>
        <w:ind w:left="720" w:hanging="360"/>
      </w:pPr>
      <w:rPr>
        <w:rFonts w:ascii="Arial" w:hAnsi="Arial" w:hint="default"/>
      </w:rPr>
    </w:lvl>
    <w:lvl w:ilvl="1" w:tplc="93F00B60" w:tentative="1">
      <w:start w:val="1"/>
      <w:numFmt w:val="bullet"/>
      <w:lvlText w:val="•"/>
      <w:lvlJc w:val="left"/>
      <w:pPr>
        <w:tabs>
          <w:tab w:val="num" w:pos="1440"/>
        </w:tabs>
        <w:ind w:left="1440" w:hanging="360"/>
      </w:pPr>
      <w:rPr>
        <w:rFonts w:ascii="Arial" w:hAnsi="Arial" w:hint="default"/>
      </w:rPr>
    </w:lvl>
    <w:lvl w:ilvl="2" w:tplc="BB04FFFC" w:tentative="1">
      <w:start w:val="1"/>
      <w:numFmt w:val="bullet"/>
      <w:lvlText w:val="•"/>
      <w:lvlJc w:val="left"/>
      <w:pPr>
        <w:tabs>
          <w:tab w:val="num" w:pos="2160"/>
        </w:tabs>
        <w:ind w:left="2160" w:hanging="360"/>
      </w:pPr>
      <w:rPr>
        <w:rFonts w:ascii="Arial" w:hAnsi="Arial" w:hint="default"/>
      </w:rPr>
    </w:lvl>
    <w:lvl w:ilvl="3" w:tplc="13B4579C" w:tentative="1">
      <w:start w:val="1"/>
      <w:numFmt w:val="bullet"/>
      <w:lvlText w:val="•"/>
      <w:lvlJc w:val="left"/>
      <w:pPr>
        <w:tabs>
          <w:tab w:val="num" w:pos="2880"/>
        </w:tabs>
        <w:ind w:left="2880" w:hanging="360"/>
      </w:pPr>
      <w:rPr>
        <w:rFonts w:ascii="Arial" w:hAnsi="Arial" w:hint="default"/>
      </w:rPr>
    </w:lvl>
    <w:lvl w:ilvl="4" w:tplc="7B165AB8" w:tentative="1">
      <w:start w:val="1"/>
      <w:numFmt w:val="bullet"/>
      <w:lvlText w:val="•"/>
      <w:lvlJc w:val="left"/>
      <w:pPr>
        <w:tabs>
          <w:tab w:val="num" w:pos="3600"/>
        </w:tabs>
        <w:ind w:left="3600" w:hanging="360"/>
      </w:pPr>
      <w:rPr>
        <w:rFonts w:ascii="Arial" w:hAnsi="Arial" w:hint="default"/>
      </w:rPr>
    </w:lvl>
    <w:lvl w:ilvl="5" w:tplc="DF8A6D3E" w:tentative="1">
      <w:start w:val="1"/>
      <w:numFmt w:val="bullet"/>
      <w:lvlText w:val="•"/>
      <w:lvlJc w:val="left"/>
      <w:pPr>
        <w:tabs>
          <w:tab w:val="num" w:pos="4320"/>
        </w:tabs>
        <w:ind w:left="4320" w:hanging="360"/>
      </w:pPr>
      <w:rPr>
        <w:rFonts w:ascii="Arial" w:hAnsi="Arial" w:hint="default"/>
      </w:rPr>
    </w:lvl>
    <w:lvl w:ilvl="6" w:tplc="57942310" w:tentative="1">
      <w:start w:val="1"/>
      <w:numFmt w:val="bullet"/>
      <w:lvlText w:val="•"/>
      <w:lvlJc w:val="left"/>
      <w:pPr>
        <w:tabs>
          <w:tab w:val="num" w:pos="5040"/>
        </w:tabs>
        <w:ind w:left="5040" w:hanging="360"/>
      </w:pPr>
      <w:rPr>
        <w:rFonts w:ascii="Arial" w:hAnsi="Arial" w:hint="default"/>
      </w:rPr>
    </w:lvl>
    <w:lvl w:ilvl="7" w:tplc="720A5960" w:tentative="1">
      <w:start w:val="1"/>
      <w:numFmt w:val="bullet"/>
      <w:lvlText w:val="•"/>
      <w:lvlJc w:val="left"/>
      <w:pPr>
        <w:tabs>
          <w:tab w:val="num" w:pos="5760"/>
        </w:tabs>
        <w:ind w:left="5760" w:hanging="360"/>
      </w:pPr>
      <w:rPr>
        <w:rFonts w:ascii="Arial" w:hAnsi="Arial" w:hint="default"/>
      </w:rPr>
    </w:lvl>
    <w:lvl w:ilvl="8" w:tplc="1090C5DC" w:tentative="1">
      <w:start w:val="1"/>
      <w:numFmt w:val="bullet"/>
      <w:lvlText w:val="•"/>
      <w:lvlJc w:val="left"/>
      <w:pPr>
        <w:tabs>
          <w:tab w:val="num" w:pos="6480"/>
        </w:tabs>
        <w:ind w:left="6480" w:hanging="360"/>
      </w:pPr>
      <w:rPr>
        <w:rFonts w:ascii="Arial" w:hAnsi="Arial" w:hint="default"/>
      </w:rPr>
    </w:lvl>
  </w:abstractNum>
  <w:abstractNum w:abstractNumId="3">
    <w:nsid w:val="0B4164CD"/>
    <w:multiLevelType w:val="hybridMultilevel"/>
    <w:tmpl w:val="A02C1F3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
    <w:nsid w:val="0DDC7467"/>
    <w:multiLevelType w:val="hybridMultilevel"/>
    <w:tmpl w:val="9C340422"/>
    <w:lvl w:ilvl="0" w:tplc="CF1633F4">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
    <w:nsid w:val="13747E68"/>
    <w:multiLevelType w:val="hybridMultilevel"/>
    <w:tmpl w:val="514067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5970489"/>
    <w:multiLevelType w:val="hybridMultilevel"/>
    <w:tmpl w:val="3EA46D0E"/>
    <w:lvl w:ilvl="0" w:tplc="1CD4655A">
      <w:start w:val="1"/>
      <w:numFmt w:val="bullet"/>
      <w:lvlText w:val="•"/>
      <w:lvlJc w:val="left"/>
      <w:pPr>
        <w:tabs>
          <w:tab w:val="num" w:pos="720"/>
        </w:tabs>
        <w:ind w:left="720" w:hanging="360"/>
      </w:pPr>
      <w:rPr>
        <w:rFonts w:ascii="Arial" w:hAnsi="Arial" w:hint="default"/>
      </w:rPr>
    </w:lvl>
    <w:lvl w:ilvl="1" w:tplc="99FCDA9A">
      <w:start w:val="991"/>
      <w:numFmt w:val="bullet"/>
      <w:lvlText w:val="•"/>
      <w:lvlJc w:val="left"/>
      <w:pPr>
        <w:tabs>
          <w:tab w:val="num" w:pos="1440"/>
        </w:tabs>
        <w:ind w:left="1440" w:hanging="360"/>
      </w:pPr>
      <w:rPr>
        <w:rFonts w:ascii="Arial" w:hAnsi="Arial" w:hint="default"/>
      </w:rPr>
    </w:lvl>
    <w:lvl w:ilvl="2" w:tplc="E77E84DA" w:tentative="1">
      <w:start w:val="1"/>
      <w:numFmt w:val="bullet"/>
      <w:lvlText w:val="•"/>
      <w:lvlJc w:val="left"/>
      <w:pPr>
        <w:tabs>
          <w:tab w:val="num" w:pos="2160"/>
        </w:tabs>
        <w:ind w:left="2160" w:hanging="360"/>
      </w:pPr>
      <w:rPr>
        <w:rFonts w:ascii="Arial" w:hAnsi="Arial" w:hint="default"/>
      </w:rPr>
    </w:lvl>
    <w:lvl w:ilvl="3" w:tplc="14A211D4" w:tentative="1">
      <w:start w:val="1"/>
      <w:numFmt w:val="bullet"/>
      <w:lvlText w:val="•"/>
      <w:lvlJc w:val="left"/>
      <w:pPr>
        <w:tabs>
          <w:tab w:val="num" w:pos="2880"/>
        </w:tabs>
        <w:ind w:left="2880" w:hanging="360"/>
      </w:pPr>
      <w:rPr>
        <w:rFonts w:ascii="Arial" w:hAnsi="Arial" w:hint="default"/>
      </w:rPr>
    </w:lvl>
    <w:lvl w:ilvl="4" w:tplc="6D1E9580" w:tentative="1">
      <w:start w:val="1"/>
      <w:numFmt w:val="bullet"/>
      <w:lvlText w:val="•"/>
      <w:lvlJc w:val="left"/>
      <w:pPr>
        <w:tabs>
          <w:tab w:val="num" w:pos="3600"/>
        </w:tabs>
        <w:ind w:left="3600" w:hanging="360"/>
      </w:pPr>
      <w:rPr>
        <w:rFonts w:ascii="Arial" w:hAnsi="Arial" w:hint="default"/>
      </w:rPr>
    </w:lvl>
    <w:lvl w:ilvl="5" w:tplc="F9B8C94C" w:tentative="1">
      <w:start w:val="1"/>
      <w:numFmt w:val="bullet"/>
      <w:lvlText w:val="•"/>
      <w:lvlJc w:val="left"/>
      <w:pPr>
        <w:tabs>
          <w:tab w:val="num" w:pos="4320"/>
        </w:tabs>
        <w:ind w:left="4320" w:hanging="360"/>
      </w:pPr>
      <w:rPr>
        <w:rFonts w:ascii="Arial" w:hAnsi="Arial" w:hint="default"/>
      </w:rPr>
    </w:lvl>
    <w:lvl w:ilvl="6" w:tplc="FF564180" w:tentative="1">
      <w:start w:val="1"/>
      <w:numFmt w:val="bullet"/>
      <w:lvlText w:val="•"/>
      <w:lvlJc w:val="left"/>
      <w:pPr>
        <w:tabs>
          <w:tab w:val="num" w:pos="5040"/>
        </w:tabs>
        <w:ind w:left="5040" w:hanging="360"/>
      </w:pPr>
      <w:rPr>
        <w:rFonts w:ascii="Arial" w:hAnsi="Arial" w:hint="default"/>
      </w:rPr>
    </w:lvl>
    <w:lvl w:ilvl="7" w:tplc="2886F8FC" w:tentative="1">
      <w:start w:val="1"/>
      <w:numFmt w:val="bullet"/>
      <w:lvlText w:val="•"/>
      <w:lvlJc w:val="left"/>
      <w:pPr>
        <w:tabs>
          <w:tab w:val="num" w:pos="5760"/>
        </w:tabs>
        <w:ind w:left="5760" w:hanging="360"/>
      </w:pPr>
      <w:rPr>
        <w:rFonts w:ascii="Arial" w:hAnsi="Arial" w:hint="default"/>
      </w:rPr>
    </w:lvl>
    <w:lvl w:ilvl="8" w:tplc="8BFCCE78" w:tentative="1">
      <w:start w:val="1"/>
      <w:numFmt w:val="bullet"/>
      <w:lvlText w:val="•"/>
      <w:lvlJc w:val="left"/>
      <w:pPr>
        <w:tabs>
          <w:tab w:val="num" w:pos="6480"/>
        </w:tabs>
        <w:ind w:left="6480" w:hanging="360"/>
      </w:pPr>
      <w:rPr>
        <w:rFonts w:ascii="Arial" w:hAnsi="Arial" w:hint="default"/>
      </w:rPr>
    </w:lvl>
  </w:abstractNum>
  <w:abstractNum w:abstractNumId="7">
    <w:nsid w:val="182E5428"/>
    <w:multiLevelType w:val="hybridMultilevel"/>
    <w:tmpl w:val="A5203D14"/>
    <w:lvl w:ilvl="0" w:tplc="0407000F">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8">
    <w:nsid w:val="1A031268"/>
    <w:multiLevelType w:val="hybridMultilevel"/>
    <w:tmpl w:val="A0BCF69A"/>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9">
    <w:nsid w:val="23C912BE"/>
    <w:multiLevelType w:val="hybridMultilevel"/>
    <w:tmpl w:val="788AE986"/>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0">
    <w:nsid w:val="26720F6E"/>
    <w:multiLevelType w:val="hybridMultilevel"/>
    <w:tmpl w:val="61D0FDCE"/>
    <w:lvl w:ilvl="0" w:tplc="5CDA6E6A">
      <w:start w:val="1"/>
      <w:numFmt w:val="decimal"/>
      <w:lvlText w:val="%1."/>
      <w:lvlJc w:val="left"/>
      <w:pPr>
        <w:tabs>
          <w:tab w:val="num" w:pos="720"/>
        </w:tabs>
        <w:ind w:left="720" w:hanging="360"/>
      </w:pPr>
    </w:lvl>
    <w:lvl w:ilvl="1" w:tplc="5B66E5B4">
      <w:start w:val="1"/>
      <w:numFmt w:val="decimal"/>
      <w:lvlText w:val="%2."/>
      <w:lvlJc w:val="left"/>
      <w:pPr>
        <w:tabs>
          <w:tab w:val="num" w:pos="1440"/>
        </w:tabs>
        <w:ind w:left="1440" w:hanging="360"/>
      </w:pPr>
    </w:lvl>
    <w:lvl w:ilvl="2" w:tplc="BD5883B8" w:tentative="1">
      <w:start w:val="1"/>
      <w:numFmt w:val="decimal"/>
      <w:lvlText w:val="%3."/>
      <w:lvlJc w:val="left"/>
      <w:pPr>
        <w:tabs>
          <w:tab w:val="num" w:pos="2160"/>
        </w:tabs>
        <w:ind w:left="2160" w:hanging="360"/>
      </w:pPr>
    </w:lvl>
    <w:lvl w:ilvl="3" w:tplc="9288E5B0" w:tentative="1">
      <w:start w:val="1"/>
      <w:numFmt w:val="decimal"/>
      <w:lvlText w:val="%4."/>
      <w:lvlJc w:val="left"/>
      <w:pPr>
        <w:tabs>
          <w:tab w:val="num" w:pos="2880"/>
        </w:tabs>
        <w:ind w:left="2880" w:hanging="360"/>
      </w:pPr>
    </w:lvl>
    <w:lvl w:ilvl="4" w:tplc="1E10C680" w:tentative="1">
      <w:start w:val="1"/>
      <w:numFmt w:val="decimal"/>
      <w:lvlText w:val="%5."/>
      <w:lvlJc w:val="left"/>
      <w:pPr>
        <w:tabs>
          <w:tab w:val="num" w:pos="3600"/>
        </w:tabs>
        <w:ind w:left="3600" w:hanging="360"/>
      </w:pPr>
    </w:lvl>
    <w:lvl w:ilvl="5" w:tplc="928227AC" w:tentative="1">
      <w:start w:val="1"/>
      <w:numFmt w:val="decimal"/>
      <w:lvlText w:val="%6."/>
      <w:lvlJc w:val="left"/>
      <w:pPr>
        <w:tabs>
          <w:tab w:val="num" w:pos="4320"/>
        </w:tabs>
        <w:ind w:left="4320" w:hanging="360"/>
      </w:pPr>
    </w:lvl>
    <w:lvl w:ilvl="6" w:tplc="6D50EE02" w:tentative="1">
      <w:start w:val="1"/>
      <w:numFmt w:val="decimal"/>
      <w:lvlText w:val="%7."/>
      <w:lvlJc w:val="left"/>
      <w:pPr>
        <w:tabs>
          <w:tab w:val="num" w:pos="5040"/>
        </w:tabs>
        <w:ind w:left="5040" w:hanging="360"/>
      </w:pPr>
    </w:lvl>
    <w:lvl w:ilvl="7" w:tplc="69766F08" w:tentative="1">
      <w:start w:val="1"/>
      <w:numFmt w:val="decimal"/>
      <w:lvlText w:val="%8."/>
      <w:lvlJc w:val="left"/>
      <w:pPr>
        <w:tabs>
          <w:tab w:val="num" w:pos="5760"/>
        </w:tabs>
        <w:ind w:left="5760" w:hanging="360"/>
      </w:pPr>
    </w:lvl>
    <w:lvl w:ilvl="8" w:tplc="E56CF2D4" w:tentative="1">
      <w:start w:val="1"/>
      <w:numFmt w:val="decimal"/>
      <w:lvlText w:val="%9."/>
      <w:lvlJc w:val="left"/>
      <w:pPr>
        <w:tabs>
          <w:tab w:val="num" w:pos="6480"/>
        </w:tabs>
        <w:ind w:left="6480" w:hanging="360"/>
      </w:pPr>
    </w:lvl>
  </w:abstractNum>
  <w:abstractNum w:abstractNumId="11">
    <w:nsid w:val="269902D3"/>
    <w:multiLevelType w:val="hybridMultilevel"/>
    <w:tmpl w:val="F9B2CC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76E42AD"/>
    <w:multiLevelType w:val="hybridMultilevel"/>
    <w:tmpl w:val="2C4CA90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2F91C65"/>
    <w:multiLevelType w:val="hybridMultilevel"/>
    <w:tmpl w:val="02D2B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C75A98"/>
    <w:multiLevelType w:val="hybridMultilevel"/>
    <w:tmpl w:val="A23AFF8A"/>
    <w:lvl w:ilvl="0" w:tplc="EF507B38">
      <w:start w:val="1"/>
      <w:numFmt w:val="bullet"/>
      <w:lvlText w:val="•"/>
      <w:lvlJc w:val="left"/>
      <w:pPr>
        <w:tabs>
          <w:tab w:val="num" w:pos="720"/>
        </w:tabs>
        <w:ind w:left="720" w:hanging="360"/>
      </w:pPr>
      <w:rPr>
        <w:rFonts w:ascii="Arial" w:hAnsi="Arial" w:hint="default"/>
      </w:rPr>
    </w:lvl>
    <w:lvl w:ilvl="1" w:tplc="AAE48934" w:tentative="1">
      <w:start w:val="1"/>
      <w:numFmt w:val="bullet"/>
      <w:lvlText w:val="•"/>
      <w:lvlJc w:val="left"/>
      <w:pPr>
        <w:tabs>
          <w:tab w:val="num" w:pos="1440"/>
        </w:tabs>
        <w:ind w:left="1440" w:hanging="360"/>
      </w:pPr>
      <w:rPr>
        <w:rFonts w:ascii="Arial" w:hAnsi="Arial" w:hint="default"/>
      </w:rPr>
    </w:lvl>
    <w:lvl w:ilvl="2" w:tplc="109A449A">
      <w:start w:val="1"/>
      <w:numFmt w:val="bullet"/>
      <w:lvlText w:val="•"/>
      <w:lvlJc w:val="left"/>
      <w:pPr>
        <w:tabs>
          <w:tab w:val="num" w:pos="2160"/>
        </w:tabs>
        <w:ind w:left="2160" w:hanging="360"/>
      </w:pPr>
      <w:rPr>
        <w:rFonts w:ascii="Arial" w:hAnsi="Arial" w:hint="default"/>
      </w:rPr>
    </w:lvl>
    <w:lvl w:ilvl="3" w:tplc="564AB1D2" w:tentative="1">
      <w:start w:val="1"/>
      <w:numFmt w:val="bullet"/>
      <w:lvlText w:val="•"/>
      <w:lvlJc w:val="left"/>
      <w:pPr>
        <w:tabs>
          <w:tab w:val="num" w:pos="2880"/>
        </w:tabs>
        <w:ind w:left="2880" w:hanging="360"/>
      </w:pPr>
      <w:rPr>
        <w:rFonts w:ascii="Arial" w:hAnsi="Arial" w:hint="default"/>
      </w:rPr>
    </w:lvl>
    <w:lvl w:ilvl="4" w:tplc="5178E21A" w:tentative="1">
      <w:start w:val="1"/>
      <w:numFmt w:val="bullet"/>
      <w:lvlText w:val="•"/>
      <w:lvlJc w:val="left"/>
      <w:pPr>
        <w:tabs>
          <w:tab w:val="num" w:pos="3600"/>
        </w:tabs>
        <w:ind w:left="3600" w:hanging="360"/>
      </w:pPr>
      <w:rPr>
        <w:rFonts w:ascii="Arial" w:hAnsi="Arial" w:hint="default"/>
      </w:rPr>
    </w:lvl>
    <w:lvl w:ilvl="5" w:tplc="9B9416FA" w:tentative="1">
      <w:start w:val="1"/>
      <w:numFmt w:val="bullet"/>
      <w:lvlText w:val="•"/>
      <w:lvlJc w:val="left"/>
      <w:pPr>
        <w:tabs>
          <w:tab w:val="num" w:pos="4320"/>
        </w:tabs>
        <w:ind w:left="4320" w:hanging="360"/>
      </w:pPr>
      <w:rPr>
        <w:rFonts w:ascii="Arial" w:hAnsi="Arial" w:hint="default"/>
      </w:rPr>
    </w:lvl>
    <w:lvl w:ilvl="6" w:tplc="ED1038F0" w:tentative="1">
      <w:start w:val="1"/>
      <w:numFmt w:val="bullet"/>
      <w:lvlText w:val="•"/>
      <w:lvlJc w:val="left"/>
      <w:pPr>
        <w:tabs>
          <w:tab w:val="num" w:pos="5040"/>
        </w:tabs>
        <w:ind w:left="5040" w:hanging="360"/>
      </w:pPr>
      <w:rPr>
        <w:rFonts w:ascii="Arial" w:hAnsi="Arial" w:hint="default"/>
      </w:rPr>
    </w:lvl>
    <w:lvl w:ilvl="7" w:tplc="AAFE7550" w:tentative="1">
      <w:start w:val="1"/>
      <w:numFmt w:val="bullet"/>
      <w:lvlText w:val="•"/>
      <w:lvlJc w:val="left"/>
      <w:pPr>
        <w:tabs>
          <w:tab w:val="num" w:pos="5760"/>
        </w:tabs>
        <w:ind w:left="5760" w:hanging="360"/>
      </w:pPr>
      <w:rPr>
        <w:rFonts w:ascii="Arial" w:hAnsi="Arial" w:hint="default"/>
      </w:rPr>
    </w:lvl>
    <w:lvl w:ilvl="8" w:tplc="14BCCF92" w:tentative="1">
      <w:start w:val="1"/>
      <w:numFmt w:val="bullet"/>
      <w:lvlText w:val="•"/>
      <w:lvlJc w:val="left"/>
      <w:pPr>
        <w:tabs>
          <w:tab w:val="num" w:pos="6480"/>
        </w:tabs>
        <w:ind w:left="6480" w:hanging="360"/>
      </w:pPr>
      <w:rPr>
        <w:rFonts w:ascii="Arial" w:hAnsi="Arial" w:hint="default"/>
      </w:rPr>
    </w:lvl>
  </w:abstractNum>
  <w:abstractNum w:abstractNumId="15">
    <w:nsid w:val="45296AA5"/>
    <w:multiLevelType w:val="hybridMultilevel"/>
    <w:tmpl w:val="20441798"/>
    <w:lvl w:ilvl="0" w:tplc="04070011">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6">
    <w:nsid w:val="51591901"/>
    <w:multiLevelType w:val="hybridMultilevel"/>
    <w:tmpl w:val="E9D67176"/>
    <w:lvl w:ilvl="0" w:tplc="04070011">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7">
    <w:nsid w:val="588D6D91"/>
    <w:multiLevelType w:val="hybridMultilevel"/>
    <w:tmpl w:val="21FAB54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FAA4F3E"/>
    <w:multiLevelType w:val="hybridMultilevel"/>
    <w:tmpl w:val="9614F1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10966D8"/>
    <w:multiLevelType w:val="hybridMultilevel"/>
    <w:tmpl w:val="885CB7C0"/>
    <w:lvl w:ilvl="0" w:tplc="D30AE648">
      <w:start w:val="2"/>
      <w:numFmt w:val="decimal"/>
      <w:lvlText w:val="%1."/>
      <w:lvlJc w:val="left"/>
      <w:pPr>
        <w:tabs>
          <w:tab w:val="num" w:pos="720"/>
        </w:tabs>
        <w:ind w:left="720" w:hanging="360"/>
      </w:pPr>
    </w:lvl>
    <w:lvl w:ilvl="1" w:tplc="1FEE5A34">
      <w:start w:val="1"/>
      <w:numFmt w:val="decimal"/>
      <w:lvlText w:val="%2."/>
      <w:lvlJc w:val="left"/>
      <w:pPr>
        <w:tabs>
          <w:tab w:val="num" w:pos="1440"/>
        </w:tabs>
        <w:ind w:left="1440" w:hanging="360"/>
      </w:pPr>
    </w:lvl>
    <w:lvl w:ilvl="2" w:tplc="1A8E233C" w:tentative="1">
      <w:start w:val="1"/>
      <w:numFmt w:val="decimal"/>
      <w:lvlText w:val="%3."/>
      <w:lvlJc w:val="left"/>
      <w:pPr>
        <w:tabs>
          <w:tab w:val="num" w:pos="2160"/>
        </w:tabs>
        <w:ind w:left="2160" w:hanging="360"/>
      </w:pPr>
    </w:lvl>
    <w:lvl w:ilvl="3" w:tplc="00B6B622" w:tentative="1">
      <w:start w:val="1"/>
      <w:numFmt w:val="decimal"/>
      <w:lvlText w:val="%4."/>
      <w:lvlJc w:val="left"/>
      <w:pPr>
        <w:tabs>
          <w:tab w:val="num" w:pos="2880"/>
        </w:tabs>
        <w:ind w:left="2880" w:hanging="360"/>
      </w:pPr>
    </w:lvl>
    <w:lvl w:ilvl="4" w:tplc="EF54085E" w:tentative="1">
      <w:start w:val="1"/>
      <w:numFmt w:val="decimal"/>
      <w:lvlText w:val="%5."/>
      <w:lvlJc w:val="left"/>
      <w:pPr>
        <w:tabs>
          <w:tab w:val="num" w:pos="3600"/>
        </w:tabs>
        <w:ind w:left="3600" w:hanging="360"/>
      </w:pPr>
    </w:lvl>
    <w:lvl w:ilvl="5" w:tplc="5F8606E4" w:tentative="1">
      <w:start w:val="1"/>
      <w:numFmt w:val="decimal"/>
      <w:lvlText w:val="%6."/>
      <w:lvlJc w:val="left"/>
      <w:pPr>
        <w:tabs>
          <w:tab w:val="num" w:pos="4320"/>
        </w:tabs>
        <w:ind w:left="4320" w:hanging="360"/>
      </w:pPr>
    </w:lvl>
    <w:lvl w:ilvl="6" w:tplc="CB88D126" w:tentative="1">
      <w:start w:val="1"/>
      <w:numFmt w:val="decimal"/>
      <w:lvlText w:val="%7."/>
      <w:lvlJc w:val="left"/>
      <w:pPr>
        <w:tabs>
          <w:tab w:val="num" w:pos="5040"/>
        </w:tabs>
        <w:ind w:left="5040" w:hanging="360"/>
      </w:pPr>
    </w:lvl>
    <w:lvl w:ilvl="7" w:tplc="5FA0FB8C" w:tentative="1">
      <w:start w:val="1"/>
      <w:numFmt w:val="decimal"/>
      <w:lvlText w:val="%8."/>
      <w:lvlJc w:val="left"/>
      <w:pPr>
        <w:tabs>
          <w:tab w:val="num" w:pos="5760"/>
        </w:tabs>
        <w:ind w:left="5760" w:hanging="360"/>
      </w:pPr>
    </w:lvl>
    <w:lvl w:ilvl="8" w:tplc="D032B188" w:tentative="1">
      <w:start w:val="1"/>
      <w:numFmt w:val="decimal"/>
      <w:lvlText w:val="%9."/>
      <w:lvlJc w:val="left"/>
      <w:pPr>
        <w:tabs>
          <w:tab w:val="num" w:pos="6480"/>
        </w:tabs>
        <w:ind w:left="6480" w:hanging="360"/>
      </w:pPr>
    </w:lvl>
  </w:abstractNum>
  <w:abstractNum w:abstractNumId="20">
    <w:nsid w:val="68F42378"/>
    <w:multiLevelType w:val="hybridMultilevel"/>
    <w:tmpl w:val="DF30B264"/>
    <w:lvl w:ilvl="0" w:tplc="4F3417E6">
      <w:start w:val="1"/>
      <w:numFmt w:val="bullet"/>
      <w:lvlText w:val="•"/>
      <w:lvlJc w:val="left"/>
      <w:pPr>
        <w:tabs>
          <w:tab w:val="num" w:pos="720"/>
        </w:tabs>
        <w:ind w:left="720" w:hanging="360"/>
      </w:pPr>
      <w:rPr>
        <w:rFonts w:ascii="Arial" w:hAnsi="Arial" w:hint="default"/>
      </w:rPr>
    </w:lvl>
    <w:lvl w:ilvl="1" w:tplc="30688D9E">
      <w:start w:val="1024"/>
      <w:numFmt w:val="bullet"/>
      <w:lvlText w:val="•"/>
      <w:lvlJc w:val="left"/>
      <w:pPr>
        <w:tabs>
          <w:tab w:val="num" w:pos="1440"/>
        </w:tabs>
        <w:ind w:left="1440" w:hanging="360"/>
      </w:pPr>
      <w:rPr>
        <w:rFonts w:ascii="Arial" w:hAnsi="Arial" w:hint="default"/>
      </w:rPr>
    </w:lvl>
    <w:lvl w:ilvl="2" w:tplc="88AA6018" w:tentative="1">
      <w:start w:val="1"/>
      <w:numFmt w:val="bullet"/>
      <w:lvlText w:val="•"/>
      <w:lvlJc w:val="left"/>
      <w:pPr>
        <w:tabs>
          <w:tab w:val="num" w:pos="2160"/>
        </w:tabs>
        <w:ind w:left="2160" w:hanging="360"/>
      </w:pPr>
      <w:rPr>
        <w:rFonts w:ascii="Arial" w:hAnsi="Arial" w:hint="default"/>
      </w:rPr>
    </w:lvl>
    <w:lvl w:ilvl="3" w:tplc="EEB2CBB2" w:tentative="1">
      <w:start w:val="1"/>
      <w:numFmt w:val="bullet"/>
      <w:lvlText w:val="•"/>
      <w:lvlJc w:val="left"/>
      <w:pPr>
        <w:tabs>
          <w:tab w:val="num" w:pos="2880"/>
        </w:tabs>
        <w:ind w:left="2880" w:hanging="360"/>
      </w:pPr>
      <w:rPr>
        <w:rFonts w:ascii="Arial" w:hAnsi="Arial" w:hint="default"/>
      </w:rPr>
    </w:lvl>
    <w:lvl w:ilvl="4" w:tplc="04B4E826" w:tentative="1">
      <w:start w:val="1"/>
      <w:numFmt w:val="bullet"/>
      <w:lvlText w:val="•"/>
      <w:lvlJc w:val="left"/>
      <w:pPr>
        <w:tabs>
          <w:tab w:val="num" w:pos="3600"/>
        </w:tabs>
        <w:ind w:left="3600" w:hanging="360"/>
      </w:pPr>
      <w:rPr>
        <w:rFonts w:ascii="Arial" w:hAnsi="Arial" w:hint="default"/>
      </w:rPr>
    </w:lvl>
    <w:lvl w:ilvl="5" w:tplc="BB0AE2F4" w:tentative="1">
      <w:start w:val="1"/>
      <w:numFmt w:val="bullet"/>
      <w:lvlText w:val="•"/>
      <w:lvlJc w:val="left"/>
      <w:pPr>
        <w:tabs>
          <w:tab w:val="num" w:pos="4320"/>
        </w:tabs>
        <w:ind w:left="4320" w:hanging="360"/>
      </w:pPr>
      <w:rPr>
        <w:rFonts w:ascii="Arial" w:hAnsi="Arial" w:hint="default"/>
      </w:rPr>
    </w:lvl>
    <w:lvl w:ilvl="6" w:tplc="57D62498" w:tentative="1">
      <w:start w:val="1"/>
      <w:numFmt w:val="bullet"/>
      <w:lvlText w:val="•"/>
      <w:lvlJc w:val="left"/>
      <w:pPr>
        <w:tabs>
          <w:tab w:val="num" w:pos="5040"/>
        </w:tabs>
        <w:ind w:left="5040" w:hanging="360"/>
      </w:pPr>
      <w:rPr>
        <w:rFonts w:ascii="Arial" w:hAnsi="Arial" w:hint="default"/>
      </w:rPr>
    </w:lvl>
    <w:lvl w:ilvl="7" w:tplc="32C8762E" w:tentative="1">
      <w:start w:val="1"/>
      <w:numFmt w:val="bullet"/>
      <w:lvlText w:val="•"/>
      <w:lvlJc w:val="left"/>
      <w:pPr>
        <w:tabs>
          <w:tab w:val="num" w:pos="5760"/>
        </w:tabs>
        <w:ind w:left="5760" w:hanging="360"/>
      </w:pPr>
      <w:rPr>
        <w:rFonts w:ascii="Arial" w:hAnsi="Arial" w:hint="default"/>
      </w:rPr>
    </w:lvl>
    <w:lvl w:ilvl="8" w:tplc="29C26078" w:tentative="1">
      <w:start w:val="1"/>
      <w:numFmt w:val="bullet"/>
      <w:lvlText w:val="•"/>
      <w:lvlJc w:val="left"/>
      <w:pPr>
        <w:tabs>
          <w:tab w:val="num" w:pos="6480"/>
        </w:tabs>
        <w:ind w:left="6480" w:hanging="360"/>
      </w:pPr>
      <w:rPr>
        <w:rFonts w:ascii="Arial" w:hAnsi="Arial" w:hint="default"/>
      </w:rPr>
    </w:lvl>
  </w:abstractNum>
  <w:abstractNum w:abstractNumId="21">
    <w:nsid w:val="6BFF5851"/>
    <w:multiLevelType w:val="hybridMultilevel"/>
    <w:tmpl w:val="A9D0FE1C"/>
    <w:lvl w:ilvl="0" w:tplc="7F22A8F0">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2">
    <w:nsid w:val="70971689"/>
    <w:multiLevelType w:val="hybridMultilevel"/>
    <w:tmpl w:val="AD5E9A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4AA64D1"/>
    <w:multiLevelType w:val="hybridMultilevel"/>
    <w:tmpl w:val="C288826A"/>
    <w:lvl w:ilvl="0" w:tplc="C5584958">
      <w:start w:val="1"/>
      <w:numFmt w:val="bullet"/>
      <w:lvlText w:val="•"/>
      <w:lvlJc w:val="left"/>
      <w:pPr>
        <w:tabs>
          <w:tab w:val="num" w:pos="720"/>
        </w:tabs>
        <w:ind w:left="720" w:hanging="360"/>
      </w:pPr>
      <w:rPr>
        <w:rFonts w:ascii="Arial" w:hAnsi="Arial" w:hint="default"/>
      </w:rPr>
    </w:lvl>
    <w:lvl w:ilvl="1" w:tplc="3B3867AA">
      <w:start w:val="1149"/>
      <w:numFmt w:val="bullet"/>
      <w:lvlText w:val="•"/>
      <w:lvlJc w:val="left"/>
      <w:pPr>
        <w:tabs>
          <w:tab w:val="num" w:pos="1440"/>
        </w:tabs>
        <w:ind w:left="1440" w:hanging="360"/>
      </w:pPr>
      <w:rPr>
        <w:rFonts w:ascii="Arial" w:hAnsi="Arial" w:hint="default"/>
      </w:rPr>
    </w:lvl>
    <w:lvl w:ilvl="2" w:tplc="41C80DA2" w:tentative="1">
      <w:start w:val="1"/>
      <w:numFmt w:val="bullet"/>
      <w:lvlText w:val="•"/>
      <w:lvlJc w:val="left"/>
      <w:pPr>
        <w:tabs>
          <w:tab w:val="num" w:pos="2160"/>
        </w:tabs>
        <w:ind w:left="2160" w:hanging="360"/>
      </w:pPr>
      <w:rPr>
        <w:rFonts w:ascii="Arial" w:hAnsi="Arial" w:hint="default"/>
      </w:rPr>
    </w:lvl>
    <w:lvl w:ilvl="3" w:tplc="808A9B46" w:tentative="1">
      <w:start w:val="1"/>
      <w:numFmt w:val="bullet"/>
      <w:lvlText w:val="•"/>
      <w:lvlJc w:val="left"/>
      <w:pPr>
        <w:tabs>
          <w:tab w:val="num" w:pos="2880"/>
        </w:tabs>
        <w:ind w:left="2880" w:hanging="360"/>
      </w:pPr>
      <w:rPr>
        <w:rFonts w:ascii="Arial" w:hAnsi="Arial" w:hint="default"/>
      </w:rPr>
    </w:lvl>
    <w:lvl w:ilvl="4" w:tplc="3FB44A16" w:tentative="1">
      <w:start w:val="1"/>
      <w:numFmt w:val="bullet"/>
      <w:lvlText w:val="•"/>
      <w:lvlJc w:val="left"/>
      <w:pPr>
        <w:tabs>
          <w:tab w:val="num" w:pos="3600"/>
        </w:tabs>
        <w:ind w:left="3600" w:hanging="360"/>
      </w:pPr>
      <w:rPr>
        <w:rFonts w:ascii="Arial" w:hAnsi="Arial" w:hint="default"/>
      </w:rPr>
    </w:lvl>
    <w:lvl w:ilvl="5" w:tplc="B6161026" w:tentative="1">
      <w:start w:val="1"/>
      <w:numFmt w:val="bullet"/>
      <w:lvlText w:val="•"/>
      <w:lvlJc w:val="left"/>
      <w:pPr>
        <w:tabs>
          <w:tab w:val="num" w:pos="4320"/>
        </w:tabs>
        <w:ind w:left="4320" w:hanging="360"/>
      </w:pPr>
      <w:rPr>
        <w:rFonts w:ascii="Arial" w:hAnsi="Arial" w:hint="default"/>
      </w:rPr>
    </w:lvl>
    <w:lvl w:ilvl="6" w:tplc="F31278FC" w:tentative="1">
      <w:start w:val="1"/>
      <w:numFmt w:val="bullet"/>
      <w:lvlText w:val="•"/>
      <w:lvlJc w:val="left"/>
      <w:pPr>
        <w:tabs>
          <w:tab w:val="num" w:pos="5040"/>
        </w:tabs>
        <w:ind w:left="5040" w:hanging="360"/>
      </w:pPr>
      <w:rPr>
        <w:rFonts w:ascii="Arial" w:hAnsi="Arial" w:hint="default"/>
      </w:rPr>
    </w:lvl>
    <w:lvl w:ilvl="7" w:tplc="CB365D2E" w:tentative="1">
      <w:start w:val="1"/>
      <w:numFmt w:val="bullet"/>
      <w:lvlText w:val="•"/>
      <w:lvlJc w:val="left"/>
      <w:pPr>
        <w:tabs>
          <w:tab w:val="num" w:pos="5760"/>
        </w:tabs>
        <w:ind w:left="5760" w:hanging="360"/>
      </w:pPr>
      <w:rPr>
        <w:rFonts w:ascii="Arial" w:hAnsi="Arial" w:hint="default"/>
      </w:rPr>
    </w:lvl>
    <w:lvl w:ilvl="8" w:tplc="3D845C4E" w:tentative="1">
      <w:start w:val="1"/>
      <w:numFmt w:val="bullet"/>
      <w:lvlText w:val="•"/>
      <w:lvlJc w:val="left"/>
      <w:pPr>
        <w:tabs>
          <w:tab w:val="num" w:pos="6480"/>
        </w:tabs>
        <w:ind w:left="6480" w:hanging="360"/>
      </w:pPr>
      <w:rPr>
        <w:rFonts w:ascii="Arial" w:hAnsi="Arial" w:hint="default"/>
      </w:rPr>
    </w:lvl>
  </w:abstractNum>
  <w:abstractNum w:abstractNumId="24">
    <w:nsid w:val="750C2E63"/>
    <w:multiLevelType w:val="hybridMultilevel"/>
    <w:tmpl w:val="9D6E2264"/>
    <w:lvl w:ilvl="0" w:tplc="B2A26942">
      <w:start w:val="1"/>
      <w:numFmt w:val="bullet"/>
      <w:lvlText w:val="•"/>
      <w:lvlJc w:val="left"/>
      <w:pPr>
        <w:tabs>
          <w:tab w:val="num" w:pos="720"/>
        </w:tabs>
        <w:ind w:left="720" w:hanging="360"/>
      </w:pPr>
      <w:rPr>
        <w:rFonts w:ascii="Arial" w:hAnsi="Arial" w:hint="default"/>
      </w:rPr>
    </w:lvl>
    <w:lvl w:ilvl="1" w:tplc="9F4A4D74" w:tentative="1">
      <w:start w:val="1"/>
      <w:numFmt w:val="bullet"/>
      <w:lvlText w:val="•"/>
      <w:lvlJc w:val="left"/>
      <w:pPr>
        <w:tabs>
          <w:tab w:val="num" w:pos="1440"/>
        </w:tabs>
        <w:ind w:left="1440" w:hanging="360"/>
      </w:pPr>
      <w:rPr>
        <w:rFonts w:ascii="Arial" w:hAnsi="Arial" w:hint="default"/>
      </w:rPr>
    </w:lvl>
    <w:lvl w:ilvl="2" w:tplc="BF18844E" w:tentative="1">
      <w:start w:val="1"/>
      <w:numFmt w:val="bullet"/>
      <w:lvlText w:val="•"/>
      <w:lvlJc w:val="left"/>
      <w:pPr>
        <w:tabs>
          <w:tab w:val="num" w:pos="2160"/>
        </w:tabs>
        <w:ind w:left="2160" w:hanging="360"/>
      </w:pPr>
      <w:rPr>
        <w:rFonts w:ascii="Arial" w:hAnsi="Arial" w:hint="default"/>
      </w:rPr>
    </w:lvl>
    <w:lvl w:ilvl="3" w:tplc="0B983B7E" w:tentative="1">
      <w:start w:val="1"/>
      <w:numFmt w:val="bullet"/>
      <w:lvlText w:val="•"/>
      <w:lvlJc w:val="left"/>
      <w:pPr>
        <w:tabs>
          <w:tab w:val="num" w:pos="2880"/>
        </w:tabs>
        <w:ind w:left="2880" w:hanging="360"/>
      </w:pPr>
      <w:rPr>
        <w:rFonts w:ascii="Arial" w:hAnsi="Arial" w:hint="default"/>
      </w:rPr>
    </w:lvl>
    <w:lvl w:ilvl="4" w:tplc="BED0BA9E" w:tentative="1">
      <w:start w:val="1"/>
      <w:numFmt w:val="bullet"/>
      <w:lvlText w:val="•"/>
      <w:lvlJc w:val="left"/>
      <w:pPr>
        <w:tabs>
          <w:tab w:val="num" w:pos="3600"/>
        </w:tabs>
        <w:ind w:left="3600" w:hanging="360"/>
      </w:pPr>
      <w:rPr>
        <w:rFonts w:ascii="Arial" w:hAnsi="Arial" w:hint="default"/>
      </w:rPr>
    </w:lvl>
    <w:lvl w:ilvl="5" w:tplc="B8425B02" w:tentative="1">
      <w:start w:val="1"/>
      <w:numFmt w:val="bullet"/>
      <w:lvlText w:val="•"/>
      <w:lvlJc w:val="left"/>
      <w:pPr>
        <w:tabs>
          <w:tab w:val="num" w:pos="4320"/>
        </w:tabs>
        <w:ind w:left="4320" w:hanging="360"/>
      </w:pPr>
      <w:rPr>
        <w:rFonts w:ascii="Arial" w:hAnsi="Arial" w:hint="default"/>
      </w:rPr>
    </w:lvl>
    <w:lvl w:ilvl="6" w:tplc="C1929974" w:tentative="1">
      <w:start w:val="1"/>
      <w:numFmt w:val="bullet"/>
      <w:lvlText w:val="•"/>
      <w:lvlJc w:val="left"/>
      <w:pPr>
        <w:tabs>
          <w:tab w:val="num" w:pos="5040"/>
        </w:tabs>
        <w:ind w:left="5040" w:hanging="360"/>
      </w:pPr>
      <w:rPr>
        <w:rFonts w:ascii="Arial" w:hAnsi="Arial" w:hint="default"/>
      </w:rPr>
    </w:lvl>
    <w:lvl w:ilvl="7" w:tplc="A25624F0" w:tentative="1">
      <w:start w:val="1"/>
      <w:numFmt w:val="bullet"/>
      <w:lvlText w:val="•"/>
      <w:lvlJc w:val="left"/>
      <w:pPr>
        <w:tabs>
          <w:tab w:val="num" w:pos="5760"/>
        </w:tabs>
        <w:ind w:left="5760" w:hanging="360"/>
      </w:pPr>
      <w:rPr>
        <w:rFonts w:ascii="Arial" w:hAnsi="Arial" w:hint="default"/>
      </w:rPr>
    </w:lvl>
    <w:lvl w:ilvl="8" w:tplc="7D14D9C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8"/>
  </w:num>
  <w:num w:numId="3">
    <w:abstractNumId w:val="3"/>
  </w:num>
  <w:num w:numId="4">
    <w:abstractNumId w:val="17"/>
  </w:num>
  <w:num w:numId="5">
    <w:abstractNumId w:val="5"/>
  </w:num>
  <w:num w:numId="6">
    <w:abstractNumId w:val="10"/>
  </w:num>
  <w:num w:numId="7">
    <w:abstractNumId w:val="19"/>
  </w:num>
  <w:num w:numId="8">
    <w:abstractNumId w:val="14"/>
  </w:num>
  <w:num w:numId="9">
    <w:abstractNumId w:val="22"/>
  </w:num>
  <w:num w:numId="10">
    <w:abstractNumId w:val="9"/>
  </w:num>
  <w:num w:numId="11">
    <w:abstractNumId w:val="11"/>
  </w:num>
  <w:num w:numId="12">
    <w:abstractNumId w:val="12"/>
  </w:num>
  <w:num w:numId="13">
    <w:abstractNumId w:val="6"/>
  </w:num>
  <w:num w:numId="14">
    <w:abstractNumId w:val="20"/>
  </w:num>
  <w:num w:numId="15">
    <w:abstractNumId w:val="23"/>
  </w:num>
  <w:num w:numId="16">
    <w:abstractNumId w:val="2"/>
  </w:num>
  <w:num w:numId="17">
    <w:abstractNumId w:val="24"/>
  </w:num>
  <w:num w:numId="18">
    <w:abstractNumId w:val="1"/>
  </w:num>
  <w:num w:numId="19">
    <w:abstractNumId w:val="0"/>
  </w:num>
  <w:num w:numId="20">
    <w:abstractNumId w:val="8"/>
  </w:num>
  <w:num w:numId="21">
    <w:abstractNumId w:val="21"/>
  </w:num>
  <w:num w:numId="22">
    <w:abstractNumId w:val="7"/>
  </w:num>
  <w:num w:numId="23">
    <w:abstractNumId w:val="16"/>
  </w:num>
  <w:num w:numId="24">
    <w:abstractNumId w:val="15"/>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nior Editor">
    <w15:presenceInfo w15:providerId="None" w15:userId="Senior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numFmt w:val="lowerRoman"/>
    <w:footnote w:id="-1"/>
    <w:footnote w:id="0"/>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8B6"/>
    <w:rsid w:val="00000A9C"/>
    <w:rsid w:val="000013B7"/>
    <w:rsid w:val="00001E98"/>
    <w:rsid w:val="00002222"/>
    <w:rsid w:val="00002EAC"/>
    <w:rsid w:val="00003413"/>
    <w:rsid w:val="00003BCA"/>
    <w:rsid w:val="00004221"/>
    <w:rsid w:val="0000492D"/>
    <w:rsid w:val="000056AE"/>
    <w:rsid w:val="0000603F"/>
    <w:rsid w:val="0000629E"/>
    <w:rsid w:val="000068DC"/>
    <w:rsid w:val="00007702"/>
    <w:rsid w:val="00007E31"/>
    <w:rsid w:val="0001101F"/>
    <w:rsid w:val="000124D3"/>
    <w:rsid w:val="00012DD9"/>
    <w:rsid w:val="000132E4"/>
    <w:rsid w:val="0001391D"/>
    <w:rsid w:val="00014E1E"/>
    <w:rsid w:val="00014F16"/>
    <w:rsid w:val="00016221"/>
    <w:rsid w:val="00017E79"/>
    <w:rsid w:val="0002015B"/>
    <w:rsid w:val="0002163E"/>
    <w:rsid w:val="00021642"/>
    <w:rsid w:val="00021FC7"/>
    <w:rsid w:val="00022425"/>
    <w:rsid w:val="0002244B"/>
    <w:rsid w:val="000228EF"/>
    <w:rsid w:val="00022A22"/>
    <w:rsid w:val="0002307C"/>
    <w:rsid w:val="000231B4"/>
    <w:rsid w:val="00023622"/>
    <w:rsid w:val="00023BD0"/>
    <w:rsid w:val="000242F4"/>
    <w:rsid w:val="000248E5"/>
    <w:rsid w:val="00024B85"/>
    <w:rsid w:val="000254A2"/>
    <w:rsid w:val="00025678"/>
    <w:rsid w:val="0002687A"/>
    <w:rsid w:val="000269D9"/>
    <w:rsid w:val="00026B87"/>
    <w:rsid w:val="00027A00"/>
    <w:rsid w:val="00027DC9"/>
    <w:rsid w:val="00027F37"/>
    <w:rsid w:val="000305BF"/>
    <w:rsid w:val="00030C8B"/>
    <w:rsid w:val="00031DDF"/>
    <w:rsid w:val="00031FCA"/>
    <w:rsid w:val="000323B5"/>
    <w:rsid w:val="00032DCD"/>
    <w:rsid w:val="00032F0C"/>
    <w:rsid w:val="00032FE4"/>
    <w:rsid w:val="00033BA2"/>
    <w:rsid w:val="00034363"/>
    <w:rsid w:val="00034823"/>
    <w:rsid w:val="00035192"/>
    <w:rsid w:val="00035541"/>
    <w:rsid w:val="00036BC2"/>
    <w:rsid w:val="00036DEC"/>
    <w:rsid w:val="00036F08"/>
    <w:rsid w:val="0003738D"/>
    <w:rsid w:val="000376F1"/>
    <w:rsid w:val="00037BDE"/>
    <w:rsid w:val="0004018B"/>
    <w:rsid w:val="00040288"/>
    <w:rsid w:val="00041385"/>
    <w:rsid w:val="00041968"/>
    <w:rsid w:val="00041E0E"/>
    <w:rsid w:val="00042138"/>
    <w:rsid w:val="0004234D"/>
    <w:rsid w:val="000429ED"/>
    <w:rsid w:val="00042AC5"/>
    <w:rsid w:val="00042D33"/>
    <w:rsid w:val="000438EF"/>
    <w:rsid w:val="0004397F"/>
    <w:rsid w:val="00044304"/>
    <w:rsid w:val="0004435E"/>
    <w:rsid w:val="00044615"/>
    <w:rsid w:val="000456B8"/>
    <w:rsid w:val="0004628B"/>
    <w:rsid w:val="000463F6"/>
    <w:rsid w:val="0004679D"/>
    <w:rsid w:val="00046F7C"/>
    <w:rsid w:val="00047A1B"/>
    <w:rsid w:val="00047A45"/>
    <w:rsid w:val="00047C1B"/>
    <w:rsid w:val="00050B04"/>
    <w:rsid w:val="000518BB"/>
    <w:rsid w:val="00051A07"/>
    <w:rsid w:val="00051BC2"/>
    <w:rsid w:val="00052803"/>
    <w:rsid w:val="0005286E"/>
    <w:rsid w:val="000528D8"/>
    <w:rsid w:val="00053BE9"/>
    <w:rsid w:val="00054C0D"/>
    <w:rsid w:val="00054C61"/>
    <w:rsid w:val="00055DC4"/>
    <w:rsid w:val="0005615D"/>
    <w:rsid w:val="000565DE"/>
    <w:rsid w:val="000565F8"/>
    <w:rsid w:val="00056F47"/>
    <w:rsid w:val="00057CC9"/>
    <w:rsid w:val="0006003D"/>
    <w:rsid w:val="00060B56"/>
    <w:rsid w:val="00061522"/>
    <w:rsid w:val="00061551"/>
    <w:rsid w:val="00061869"/>
    <w:rsid w:val="00061B28"/>
    <w:rsid w:val="00062090"/>
    <w:rsid w:val="000631F9"/>
    <w:rsid w:val="00063DC7"/>
    <w:rsid w:val="00063FFC"/>
    <w:rsid w:val="0006426D"/>
    <w:rsid w:val="00064663"/>
    <w:rsid w:val="00064736"/>
    <w:rsid w:val="00064AE9"/>
    <w:rsid w:val="00064BCC"/>
    <w:rsid w:val="000653F1"/>
    <w:rsid w:val="000668F7"/>
    <w:rsid w:val="00067413"/>
    <w:rsid w:val="00067B6B"/>
    <w:rsid w:val="00071014"/>
    <w:rsid w:val="00071968"/>
    <w:rsid w:val="000719BE"/>
    <w:rsid w:val="00071AB9"/>
    <w:rsid w:val="00072233"/>
    <w:rsid w:val="000724D1"/>
    <w:rsid w:val="00072825"/>
    <w:rsid w:val="00074BAD"/>
    <w:rsid w:val="00076D9A"/>
    <w:rsid w:val="00080052"/>
    <w:rsid w:val="0008017D"/>
    <w:rsid w:val="000801F1"/>
    <w:rsid w:val="00081CA7"/>
    <w:rsid w:val="00082426"/>
    <w:rsid w:val="000825CB"/>
    <w:rsid w:val="00083321"/>
    <w:rsid w:val="000849BC"/>
    <w:rsid w:val="000856BB"/>
    <w:rsid w:val="00087963"/>
    <w:rsid w:val="00090CCF"/>
    <w:rsid w:val="00090FCA"/>
    <w:rsid w:val="00091244"/>
    <w:rsid w:val="00091731"/>
    <w:rsid w:val="0009175C"/>
    <w:rsid w:val="000930DE"/>
    <w:rsid w:val="000933F3"/>
    <w:rsid w:val="0009367F"/>
    <w:rsid w:val="0009485E"/>
    <w:rsid w:val="000950CE"/>
    <w:rsid w:val="00095202"/>
    <w:rsid w:val="00095469"/>
    <w:rsid w:val="000956E5"/>
    <w:rsid w:val="0009594C"/>
    <w:rsid w:val="00095B87"/>
    <w:rsid w:val="00096C40"/>
    <w:rsid w:val="00096D79"/>
    <w:rsid w:val="000972A2"/>
    <w:rsid w:val="000976CD"/>
    <w:rsid w:val="00097E0D"/>
    <w:rsid w:val="000A0998"/>
    <w:rsid w:val="000A0D64"/>
    <w:rsid w:val="000A1475"/>
    <w:rsid w:val="000A2019"/>
    <w:rsid w:val="000A3631"/>
    <w:rsid w:val="000A3CC3"/>
    <w:rsid w:val="000A402C"/>
    <w:rsid w:val="000A4F96"/>
    <w:rsid w:val="000A5E65"/>
    <w:rsid w:val="000A64F8"/>
    <w:rsid w:val="000A6A21"/>
    <w:rsid w:val="000A6E5E"/>
    <w:rsid w:val="000A713C"/>
    <w:rsid w:val="000A71A3"/>
    <w:rsid w:val="000A75E8"/>
    <w:rsid w:val="000A7F6C"/>
    <w:rsid w:val="000B0914"/>
    <w:rsid w:val="000B09AD"/>
    <w:rsid w:val="000B1A96"/>
    <w:rsid w:val="000B1FCE"/>
    <w:rsid w:val="000B22AB"/>
    <w:rsid w:val="000B2DFD"/>
    <w:rsid w:val="000B410D"/>
    <w:rsid w:val="000B46FE"/>
    <w:rsid w:val="000B4AE7"/>
    <w:rsid w:val="000B4B90"/>
    <w:rsid w:val="000B4BA5"/>
    <w:rsid w:val="000B4CE9"/>
    <w:rsid w:val="000B526F"/>
    <w:rsid w:val="000B52B9"/>
    <w:rsid w:val="000B542C"/>
    <w:rsid w:val="000B567A"/>
    <w:rsid w:val="000B60C2"/>
    <w:rsid w:val="000B685E"/>
    <w:rsid w:val="000B708F"/>
    <w:rsid w:val="000B768C"/>
    <w:rsid w:val="000B7C8B"/>
    <w:rsid w:val="000C03DD"/>
    <w:rsid w:val="000C05CD"/>
    <w:rsid w:val="000C0B83"/>
    <w:rsid w:val="000C0C52"/>
    <w:rsid w:val="000C0C93"/>
    <w:rsid w:val="000C291B"/>
    <w:rsid w:val="000C337F"/>
    <w:rsid w:val="000C34C9"/>
    <w:rsid w:val="000C39B9"/>
    <w:rsid w:val="000C3C46"/>
    <w:rsid w:val="000C3FFC"/>
    <w:rsid w:val="000C46AB"/>
    <w:rsid w:val="000C4CFF"/>
    <w:rsid w:val="000C4DC3"/>
    <w:rsid w:val="000C5B80"/>
    <w:rsid w:val="000C5DEE"/>
    <w:rsid w:val="000C6951"/>
    <w:rsid w:val="000D1D12"/>
    <w:rsid w:val="000D1EBD"/>
    <w:rsid w:val="000D2610"/>
    <w:rsid w:val="000D2C02"/>
    <w:rsid w:val="000D338B"/>
    <w:rsid w:val="000D4128"/>
    <w:rsid w:val="000D4169"/>
    <w:rsid w:val="000D439E"/>
    <w:rsid w:val="000D44CB"/>
    <w:rsid w:val="000D479C"/>
    <w:rsid w:val="000D59A3"/>
    <w:rsid w:val="000D5D66"/>
    <w:rsid w:val="000D5E5E"/>
    <w:rsid w:val="000D740D"/>
    <w:rsid w:val="000D7922"/>
    <w:rsid w:val="000E0F39"/>
    <w:rsid w:val="000E181C"/>
    <w:rsid w:val="000E1DEA"/>
    <w:rsid w:val="000E1F74"/>
    <w:rsid w:val="000E20FA"/>
    <w:rsid w:val="000E2308"/>
    <w:rsid w:val="000E2464"/>
    <w:rsid w:val="000E2647"/>
    <w:rsid w:val="000E296C"/>
    <w:rsid w:val="000E29A6"/>
    <w:rsid w:val="000E2D50"/>
    <w:rsid w:val="000E3B8A"/>
    <w:rsid w:val="000E4561"/>
    <w:rsid w:val="000E4764"/>
    <w:rsid w:val="000E5959"/>
    <w:rsid w:val="000E5FA9"/>
    <w:rsid w:val="000E7669"/>
    <w:rsid w:val="000E7E77"/>
    <w:rsid w:val="000F0718"/>
    <w:rsid w:val="000F0908"/>
    <w:rsid w:val="000F0AE8"/>
    <w:rsid w:val="000F1DF0"/>
    <w:rsid w:val="000F29E8"/>
    <w:rsid w:val="000F2F4E"/>
    <w:rsid w:val="000F43AF"/>
    <w:rsid w:val="000F4ACC"/>
    <w:rsid w:val="000F5AC0"/>
    <w:rsid w:val="000F64FE"/>
    <w:rsid w:val="000F7410"/>
    <w:rsid w:val="000F75B3"/>
    <w:rsid w:val="000F764E"/>
    <w:rsid w:val="000F7A87"/>
    <w:rsid w:val="00100894"/>
    <w:rsid w:val="00100C8B"/>
    <w:rsid w:val="00102107"/>
    <w:rsid w:val="00102674"/>
    <w:rsid w:val="001027BF"/>
    <w:rsid w:val="00102A2B"/>
    <w:rsid w:val="00102C83"/>
    <w:rsid w:val="00102E56"/>
    <w:rsid w:val="00103232"/>
    <w:rsid w:val="001032A5"/>
    <w:rsid w:val="00103E25"/>
    <w:rsid w:val="00103FFD"/>
    <w:rsid w:val="00107536"/>
    <w:rsid w:val="001077E8"/>
    <w:rsid w:val="001108D1"/>
    <w:rsid w:val="0011120F"/>
    <w:rsid w:val="0011172F"/>
    <w:rsid w:val="00111E15"/>
    <w:rsid w:val="0011202D"/>
    <w:rsid w:val="00112365"/>
    <w:rsid w:val="001128CA"/>
    <w:rsid w:val="0011293A"/>
    <w:rsid w:val="00112D7C"/>
    <w:rsid w:val="001145F0"/>
    <w:rsid w:val="00114D92"/>
    <w:rsid w:val="001151F8"/>
    <w:rsid w:val="0011523E"/>
    <w:rsid w:val="00115EC7"/>
    <w:rsid w:val="001163D3"/>
    <w:rsid w:val="00116EA2"/>
    <w:rsid w:val="00120380"/>
    <w:rsid w:val="0012081C"/>
    <w:rsid w:val="0012145A"/>
    <w:rsid w:val="00121631"/>
    <w:rsid w:val="00121FBA"/>
    <w:rsid w:val="00123441"/>
    <w:rsid w:val="001245D3"/>
    <w:rsid w:val="00124AF1"/>
    <w:rsid w:val="00124DF1"/>
    <w:rsid w:val="00125376"/>
    <w:rsid w:val="00125B60"/>
    <w:rsid w:val="0012681F"/>
    <w:rsid w:val="001277F2"/>
    <w:rsid w:val="001279EB"/>
    <w:rsid w:val="0013002D"/>
    <w:rsid w:val="00130518"/>
    <w:rsid w:val="00130F32"/>
    <w:rsid w:val="00131524"/>
    <w:rsid w:val="00131537"/>
    <w:rsid w:val="00131FEB"/>
    <w:rsid w:val="00132359"/>
    <w:rsid w:val="001324A2"/>
    <w:rsid w:val="00132B7E"/>
    <w:rsid w:val="00134224"/>
    <w:rsid w:val="00134557"/>
    <w:rsid w:val="0013489A"/>
    <w:rsid w:val="00136402"/>
    <w:rsid w:val="0013640A"/>
    <w:rsid w:val="00136B2A"/>
    <w:rsid w:val="00136E2D"/>
    <w:rsid w:val="00136EE2"/>
    <w:rsid w:val="00141034"/>
    <w:rsid w:val="001415AC"/>
    <w:rsid w:val="001415FB"/>
    <w:rsid w:val="00141999"/>
    <w:rsid w:val="00141A4A"/>
    <w:rsid w:val="00141C7A"/>
    <w:rsid w:val="00141F24"/>
    <w:rsid w:val="00142421"/>
    <w:rsid w:val="00142579"/>
    <w:rsid w:val="00143581"/>
    <w:rsid w:val="00143E91"/>
    <w:rsid w:val="00145768"/>
    <w:rsid w:val="001459CC"/>
    <w:rsid w:val="0014657A"/>
    <w:rsid w:val="00146773"/>
    <w:rsid w:val="0014730A"/>
    <w:rsid w:val="001476B7"/>
    <w:rsid w:val="00147D81"/>
    <w:rsid w:val="00150770"/>
    <w:rsid w:val="001509F4"/>
    <w:rsid w:val="00150A5C"/>
    <w:rsid w:val="00150B92"/>
    <w:rsid w:val="00151428"/>
    <w:rsid w:val="0015153D"/>
    <w:rsid w:val="00152B15"/>
    <w:rsid w:val="0015355D"/>
    <w:rsid w:val="00153A04"/>
    <w:rsid w:val="00153C78"/>
    <w:rsid w:val="00153DFC"/>
    <w:rsid w:val="001541D2"/>
    <w:rsid w:val="001542CD"/>
    <w:rsid w:val="00154405"/>
    <w:rsid w:val="00154CA8"/>
    <w:rsid w:val="00155775"/>
    <w:rsid w:val="0015663A"/>
    <w:rsid w:val="0015766C"/>
    <w:rsid w:val="00157D1A"/>
    <w:rsid w:val="0016009D"/>
    <w:rsid w:val="0016088C"/>
    <w:rsid w:val="00160B7A"/>
    <w:rsid w:val="0016134E"/>
    <w:rsid w:val="00161A3F"/>
    <w:rsid w:val="001625C7"/>
    <w:rsid w:val="00163508"/>
    <w:rsid w:val="0016353E"/>
    <w:rsid w:val="001639F6"/>
    <w:rsid w:val="0016428D"/>
    <w:rsid w:val="00165D30"/>
    <w:rsid w:val="001665D3"/>
    <w:rsid w:val="001665E5"/>
    <w:rsid w:val="001666B0"/>
    <w:rsid w:val="00166B15"/>
    <w:rsid w:val="001675F5"/>
    <w:rsid w:val="0017175E"/>
    <w:rsid w:val="00171E00"/>
    <w:rsid w:val="00172110"/>
    <w:rsid w:val="00173165"/>
    <w:rsid w:val="001732E1"/>
    <w:rsid w:val="00173348"/>
    <w:rsid w:val="001739B6"/>
    <w:rsid w:val="00173C51"/>
    <w:rsid w:val="001743DE"/>
    <w:rsid w:val="00176009"/>
    <w:rsid w:val="00176459"/>
    <w:rsid w:val="00176607"/>
    <w:rsid w:val="00176DE2"/>
    <w:rsid w:val="0017714D"/>
    <w:rsid w:val="00180855"/>
    <w:rsid w:val="0018164F"/>
    <w:rsid w:val="001816CC"/>
    <w:rsid w:val="001817A5"/>
    <w:rsid w:val="001821CC"/>
    <w:rsid w:val="00183251"/>
    <w:rsid w:val="00184320"/>
    <w:rsid w:val="001846C3"/>
    <w:rsid w:val="001847C1"/>
    <w:rsid w:val="00184DDC"/>
    <w:rsid w:val="00184DDF"/>
    <w:rsid w:val="00185347"/>
    <w:rsid w:val="00186124"/>
    <w:rsid w:val="001861DE"/>
    <w:rsid w:val="001865B6"/>
    <w:rsid w:val="00186623"/>
    <w:rsid w:val="001866FA"/>
    <w:rsid w:val="00187D59"/>
    <w:rsid w:val="001912DD"/>
    <w:rsid w:val="0019142D"/>
    <w:rsid w:val="0019238D"/>
    <w:rsid w:val="00192497"/>
    <w:rsid w:val="00192C83"/>
    <w:rsid w:val="0019414D"/>
    <w:rsid w:val="00194184"/>
    <w:rsid w:val="001944F0"/>
    <w:rsid w:val="00194B9F"/>
    <w:rsid w:val="00194FE3"/>
    <w:rsid w:val="00195829"/>
    <w:rsid w:val="00195F22"/>
    <w:rsid w:val="001964EE"/>
    <w:rsid w:val="00196B7D"/>
    <w:rsid w:val="00196DEF"/>
    <w:rsid w:val="00196E21"/>
    <w:rsid w:val="001970A7"/>
    <w:rsid w:val="001970EB"/>
    <w:rsid w:val="00197114"/>
    <w:rsid w:val="001973AF"/>
    <w:rsid w:val="001975DA"/>
    <w:rsid w:val="001975FD"/>
    <w:rsid w:val="001A0104"/>
    <w:rsid w:val="001A13FB"/>
    <w:rsid w:val="001A144C"/>
    <w:rsid w:val="001A1815"/>
    <w:rsid w:val="001A2636"/>
    <w:rsid w:val="001A273C"/>
    <w:rsid w:val="001A294F"/>
    <w:rsid w:val="001A33BA"/>
    <w:rsid w:val="001A3D89"/>
    <w:rsid w:val="001A45A7"/>
    <w:rsid w:val="001A49BE"/>
    <w:rsid w:val="001A63CC"/>
    <w:rsid w:val="001A687D"/>
    <w:rsid w:val="001A6ABB"/>
    <w:rsid w:val="001A6F62"/>
    <w:rsid w:val="001A7756"/>
    <w:rsid w:val="001A7C91"/>
    <w:rsid w:val="001B02CB"/>
    <w:rsid w:val="001B06BA"/>
    <w:rsid w:val="001B06C8"/>
    <w:rsid w:val="001B0A55"/>
    <w:rsid w:val="001B1A2C"/>
    <w:rsid w:val="001B25FA"/>
    <w:rsid w:val="001B291A"/>
    <w:rsid w:val="001B2ADD"/>
    <w:rsid w:val="001B2D93"/>
    <w:rsid w:val="001B2F02"/>
    <w:rsid w:val="001B3145"/>
    <w:rsid w:val="001B35EB"/>
    <w:rsid w:val="001B3708"/>
    <w:rsid w:val="001B526A"/>
    <w:rsid w:val="001B58EA"/>
    <w:rsid w:val="001B5C5B"/>
    <w:rsid w:val="001B5CA1"/>
    <w:rsid w:val="001B5CD9"/>
    <w:rsid w:val="001B5D23"/>
    <w:rsid w:val="001B778F"/>
    <w:rsid w:val="001B77C6"/>
    <w:rsid w:val="001C048D"/>
    <w:rsid w:val="001C0C35"/>
    <w:rsid w:val="001C0F13"/>
    <w:rsid w:val="001C0F55"/>
    <w:rsid w:val="001C15E0"/>
    <w:rsid w:val="001C27A9"/>
    <w:rsid w:val="001C2B3B"/>
    <w:rsid w:val="001C2C11"/>
    <w:rsid w:val="001C3C1B"/>
    <w:rsid w:val="001C3DB0"/>
    <w:rsid w:val="001C50F7"/>
    <w:rsid w:val="001C5425"/>
    <w:rsid w:val="001C58B2"/>
    <w:rsid w:val="001C5ADB"/>
    <w:rsid w:val="001C65DB"/>
    <w:rsid w:val="001C6753"/>
    <w:rsid w:val="001C7CC0"/>
    <w:rsid w:val="001D00EC"/>
    <w:rsid w:val="001D10A6"/>
    <w:rsid w:val="001D128C"/>
    <w:rsid w:val="001D28C9"/>
    <w:rsid w:val="001D3512"/>
    <w:rsid w:val="001D3EC8"/>
    <w:rsid w:val="001D41CD"/>
    <w:rsid w:val="001D4210"/>
    <w:rsid w:val="001D443B"/>
    <w:rsid w:val="001D4F76"/>
    <w:rsid w:val="001D68B3"/>
    <w:rsid w:val="001D6C9E"/>
    <w:rsid w:val="001D7DEA"/>
    <w:rsid w:val="001E0939"/>
    <w:rsid w:val="001E174E"/>
    <w:rsid w:val="001E2F44"/>
    <w:rsid w:val="001E32CA"/>
    <w:rsid w:val="001E3660"/>
    <w:rsid w:val="001E422F"/>
    <w:rsid w:val="001E487B"/>
    <w:rsid w:val="001E5198"/>
    <w:rsid w:val="001E5672"/>
    <w:rsid w:val="001E62DD"/>
    <w:rsid w:val="001E62F3"/>
    <w:rsid w:val="001E6ACF"/>
    <w:rsid w:val="001F16C4"/>
    <w:rsid w:val="001F22C6"/>
    <w:rsid w:val="001F25BA"/>
    <w:rsid w:val="001F2941"/>
    <w:rsid w:val="001F3003"/>
    <w:rsid w:val="001F3C2D"/>
    <w:rsid w:val="001F3C9B"/>
    <w:rsid w:val="001F3E1C"/>
    <w:rsid w:val="001F499F"/>
    <w:rsid w:val="001F49F9"/>
    <w:rsid w:val="001F4E65"/>
    <w:rsid w:val="001F59D8"/>
    <w:rsid w:val="001F5CB8"/>
    <w:rsid w:val="001F5D82"/>
    <w:rsid w:val="001F6110"/>
    <w:rsid w:val="0020014E"/>
    <w:rsid w:val="00200327"/>
    <w:rsid w:val="00200468"/>
    <w:rsid w:val="0020167E"/>
    <w:rsid w:val="002018A7"/>
    <w:rsid w:val="002020FD"/>
    <w:rsid w:val="002030A1"/>
    <w:rsid w:val="002034DA"/>
    <w:rsid w:val="00203601"/>
    <w:rsid w:val="002038A2"/>
    <w:rsid w:val="0020422E"/>
    <w:rsid w:val="00204CC6"/>
    <w:rsid w:val="00205F68"/>
    <w:rsid w:val="0020668A"/>
    <w:rsid w:val="0020668B"/>
    <w:rsid w:val="00206C5A"/>
    <w:rsid w:val="00207CBD"/>
    <w:rsid w:val="0021087D"/>
    <w:rsid w:val="0021089D"/>
    <w:rsid w:val="002109D3"/>
    <w:rsid w:val="00210C81"/>
    <w:rsid w:val="002115AF"/>
    <w:rsid w:val="00211757"/>
    <w:rsid w:val="00211F6D"/>
    <w:rsid w:val="00212544"/>
    <w:rsid w:val="00212BC6"/>
    <w:rsid w:val="002133AE"/>
    <w:rsid w:val="00214A56"/>
    <w:rsid w:val="0021560A"/>
    <w:rsid w:val="00216BA2"/>
    <w:rsid w:val="00216CB3"/>
    <w:rsid w:val="00217B4C"/>
    <w:rsid w:val="00217E4E"/>
    <w:rsid w:val="00220D55"/>
    <w:rsid w:val="002218DC"/>
    <w:rsid w:val="0022246C"/>
    <w:rsid w:val="002225F1"/>
    <w:rsid w:val="00222A3A"/>
    <w:rsid w:val="00222F34"/>
    <w:rsid w:val="0022324F"/>
    <w:rsid w:val="00223981"/>
    <w:rsid w:val="00223CCB"/>
    <w:rsid w:val="00224128"/>
    <w:rsid w:val="0022482A"/>
    <w:rsid w:val="00224A0E"/>
    <w:rsid w:val="00224B75"/>
    <w:rsid w:val="002254C5"/>
    <w:rsid w:val="002257F7"/>
    <w:rsid w:val="00225A82"/>
    <w:rsid w:val="002261C4"/>
    <w:rsid w:val="0022627D"/>
    <w:rsid w:val="00226C99"/>
    <w:rsid w:val="00227830"/>
    <w:rsid w:val="00227F40"/>
    <w:rsid w:val="00230C83"/>
    <w:rsid w:val="002317E4"/>
    <w:rsid w:val="00232184"/>
    <w:rsid w:val="00232498"/>
    <w:rsid w:val="00232DF5"/>
    <w:rsid w:val="002330F0"/>
    <w:rsid w:val="00233155"/>
    <w:rsid w:val="002332FB"/>
    <w:rsid w:val="00233A07"/>
    <w:rsid w:val="00233B2B"/>
    <w:rsid w:val="00233E3F"/>
    <w:rsid w:val="00234237"/>
    <w:rsid w:val="00235C0F"/>
    <w:rsid w:val="00236AE0"/>
    <w:rsid w:val="00236D24"/>
    <w:rsid w:val="00236E7A"/>
    <w:rsid w:val="00237B74"/>
    <w:rsid w:val="00237E7F"/>
    <w:rsid w:val="0024000F"/>
    <w:rsid w:val="002412BB"/>
    <w:rsid w:val="002416E3"/>
    <w:rsid w:val="00241773"/>
    <w:rsid w:val="002418CF"/>
    <w:rsid w:val="00241A49"/>
    <w:rsid w:val="0024202A"/>
    <w:rsid w:val="00242636"/>
    <w:rsid w:val="002429E9"/>
    <w:rsid w:val="00242CAA"/>
    <w:rsid w:val="00243624"/>
    <w:rsid w:val="00243BA8"/>
    <w:rsid w:val="002444A2"/>
    <w:rsid w:val="00244C35"/>
    <w:rsid w:val="00244DC6"/>
    <w:rsid w:val="00245077"/>
    <w:rsid w:val="002451DF"/>
    <w:rsid w:val="00246B9E"/>
    <w:rsid w:val="00246E1A"/>
    <w:rsid w:val="00250AE0"/>
    <w:rsid w:val="002515CA"/>
    <w:rsid w:val="00251650"/>
    <w:rsid w:val="00251888"/>
    <w:rsid w:val="00252048"/>
    <w:rsid w:val="002528EF"/>
    <w:rsid w:val="0025291E"/>
    <w:rsid w:val="00252C1D"/>
    <w:rsid w:val="0025304A"/>
    <w:rsid w:val="0025378E"/>
    <w:rsid w:val="00253D55"/>
    <w:rsid w:val="002540BF"/>
    <w:rsid w:val="002541A1"/>
    <w:rsid w:val="00254C2B"/>
    <w:rsid w:val="0025587C"/>
    <w:rsid w:val="00256D32"/>
    <w:rsid w:val="002577F2"/>
    <w:rsid w:val="00257BF7"/>
    <w:rsid w:val="00257C0E"/>
    <w:rsid w:val="00257EC4"/>
    <w:rsid w:val="00260016"/>
    <w:rsid w:val="002608B6"/>
    <w:rsid w:val="00260FC8"/>
    <w:rsid w:val="00261E99"/>
    <w:rsid w:val="00261E9D"/>
    <w:rsid w:val="0026205E"/>
    <w:rsid w:val="002625DE"/>
    <w:rsid w:val="00263129"/>
    <w:rsid w:val="002651A9"/>
    <w:rsid w:val="00265E8D"/>
    <w:rsid w:val="002661E6"/>
    <w:rsid w:val="00266872"/>
    <w:rsid w:val="00266E77"/>
    <w:rsid w:val="00267D1F"/>
    <w:rsid w:val="00270D00"/>
    <w:rsid w:val="00270DF5"/>
    <w:rsid w:val="00271079"/>
    <w:rsid w:val="00271617"/>
    <w:rsid w:val="0027252D"/>
    <w:rsid w:val="0027463C"/>
    <w:rsid w:val="00274E99"/>
    <w:rsid w:val="0027530F"/>
    <w:rsid w:val="00275B3E"/>
    <w:rsid w:val="00275F23"/>
    <w:rsid w:val="00276080"/>
    <w:rsid w:val="00276E66"/>
    <w:rsid w:val="002773F8"/>
    <w:rsid w:val="002775EB"/>
    <w:rsid w:val="00277904"/>
    <w:rsid w:val="00280CBF"/>
    <w:rsid w:val="00281143"/>
    <w:rsid w:val="002820D2"/>
    <w:rsid w:val="0028336C"/>
    <w:rsid w:val="002836E7"/>
    <w:rsid w:val="00283F64"/>
    <w:rsid w:val="00285236"/>
    <w:rsid w:val="0028555A"/>
    <w:rsid w:val="00285B83"/>
    <w:rsid w:val="002867D2"/>
    <w:rsid w:val="00286EBC"/>
    <w:rsid w:val="00287213"/>
    <w:rsid w:val="00287840"/>
    <w:rsid w:val="00290088"/>
    <w:rsid w:val="00291C72"/>
    <w:rsid w:val="00291F60"/>
    <w:rsid w:val="0029220B"/>
    <w:rsid w:val="0029255F"/>
    <w:rsid w:val="00294A6E"/>
    <w:rsid w:val="00295029"/>
    <w:rsid w:val="0029538C"/>
    <w:rsid w:val="00295575"/>
    <w:rsid w:val="00295920"/>
    <w:rsid w:val="00295D33"/>
    <w:rsid w:val="0029658F"/>
    <w:rsid w:val="00296674"/>
    <w:rsid w:val="00296E99"/>
    <w:rsid w:val="00296EAA"/>
    <w:rsid w:val="0029724B"/>
    <w:rsid w:val="002A063B"/>
    <w:rsid w:val="002A0F12"/>
    <w:rsid w:val="002A1ABC"/>
    <w:rsid w:val="002A213B"/>
    <w:rsid w:val="002A2B05"/>
    <w:rsid w:val="002A315C"/>
    <w:rsid w:val="002A366F"/>
    <w:rsid w:val="002A386D"/>
    <w:rsid w:val="002A3AAC"/>
    <w:rsid w:val="002A4B3E"/>
    <w:rsid w:val="002A50A6"/>
    <w:rsid w:val="002A50D4"/>
    <w:rsid w:val="002A6834"/>
    <w:rsid w:val="002A6A55"/>
    <w:rsid w:val="002A71BA"/>
    <w:rsid w:val="002A76C0"/>
    <w:rsid w:val="002B0081"/>
    <w:rsid w:val="002B00B7"/>
    <w:rsid w:val="002B0CF0"/>
    <w:rsid w:val="002B2FD1"/>
    <w:rsid w:val="002B3022"/>
    <w:rsid w:val="002B312D"/>
    <w:rsid w:val="002B3166"/>
    <w:rsid w:val="002B4033"/>
    <w:rsid w:val="002B4049"/>
    <w:rsid w:val="002B4156"/>
    <w:rsid w:val="002B462D"/>
    <w:rsid w:val="002B4B31"/>
    <w:rsid w:val="002B4C0E"/>
    <w:rsid w:val="002B4CB8"/>
    <w:rsid w:val="002B4D5C"/>
    <w:rsid w:val="002B685A"/>
    <w:rsid w:val="002B7431"/>
    <w:rsid w:val="002B78C3"/>
    <w:rsid w:val="002C02CE"/>
    <w:rsid w:val="002C0660"/>
    <w:rsid w:val="002C1336"/>
    <w:rsid w:val="002C1408"/>
    <w:rsid w:val="002C14E1"/>
    <w:rsid w:val="002C1B23"/>
    <w:rsid w:val="002C2C09"/>
    <w:rsid w:val="002C33F0"/>
    <w:rsid w:val="002C3B32"/>
    <w:rsid w:val="002C3C33"/>
    <w:rsid w:val="002C4384"/>
    <w:rsid w:val="002C44F3"/>
    <w:rsid w:val="002C5026"/>
    <w:rsid w:val="002C516F"/>
    <w:rsid w:val="002C5216"/>
    <w:rsid w:val="002C61F7"/>
    <w:rsid w:val="002C6BD4"/>
    <w:rsid w:val="002C6D28"/>
    <w:rsid w:val="002C6E5D"/>
    <w:rsid w:val="002C73EF"/>
    <w:rsid w:val="002C7620"/>
    <w:rsid w:val="002C7690"/>
    <w:rsid w:val="002C7B3A"/>
    <w:rsid w:val="002C7BB8"/>
    <w:rsid w:val="002D1129"/>
    <w:rsid w:val="002D16FA"/>
    <w:rsid w:val="002D1721"/>
    <w:rsid w:val="002D2472"/>
    <w:rsid w:val="002D2D2D"/>
    <w:rsid w:val="002D2EB6"/>
    <w:rsid w:val="002D3283"/>
    <w:rsid w:val="002D347B"/>
    <w:rsid w:val="002D41C4"/>
    <w:rsid w:val="002D458B"/>
    <w:rsid w:val="002D4996"/>
    <w:rsid w:val="002D4FAA"/>
    <w:rsid w:val="002D5421"/>
    <w:rsid w:val="002D75F1"/>
    <w:rsid w:val="002D7609"/>
    <w:rsid w:val="002E0E9D"/>
    <w:rsid w:val="002E13C9"/>
    <w:rsid w:val="002E1C5F"/>
    <w:rsid w:val="002E1DE0"/>
    <w:rsid w:val="002E26F8"/>
    <w:rsid w:val="002E2BEF"/>
    <w:rsid w:val="002E3D0A"/>
    <w:rsid w:val="002E40FF"/>
    <w:rsid w:val="002E418F"/>
    <w:rsid w:val="002E48AA"/>
    <w:rsid w:val="002E51C0"/>
    <w:rsid w:val="002E5258"/>
    <w:rsid w:val="002E5982"/>
    <w:rsid w:val="002E5E74"/>
    <w:rsid w:val="002E6792"/>
    <w:rsid w:val="002E69DF"/>
    <w:rsid w:val="002E7FDA"/>
    <w:rsid w:val="002F022C"/>
    <w:rsid w:val="002F0F2D"/>
    <w:rsid w:val="002F12B8"/>
    <w:rsid w:val="002F13F6"/>
    <w:rsid w:val="002F1614"/>
    <w:rsid w:val="002F1F34"/>
    <w:rsid w:val="002F28A7"/>
    <w:rsid w:val="002F38F1"/>
    <w:rsid w:val="002F3DCD"/>
    <w:rsid w:val="002F48B3"/>
    <w:rsid w:val="002F4E3C"/>
    <w:rsid w:val="002F528A"/>
    <w:rsid w:val="002F56D0"/>
    <w:rsid w:val="002F5B17"/>
    <w:rsid w:val="002F5CBA"/>
    <w:rsid w:val="002F6A51"/>
    <w:rsid w:val="002F6C62"/>
    <w:rsid w:val="002F6CC0"/>
    <w:rsid w:val="002F7261"/>
    <w:rsid w:val="002F7F40"/>
    <w:rsid w:val="003004B0"/>
    <w:rsid w:val="00300828"/>
    <w:rsid w:val="00300D3A"/>
    <w:rsid w:val="00301A00"/>
    <w:rsid w:val="00302711"/>
    <w:rsid w:val="00302AD4"/>
    <w:rsid w:val="00302DE6"/>
    <w:rsid w:val="00303059"/>
    <w:rsid w:val="003032EF"/>
    <w:rsid w:val="00303707"/>
    <w:rsid w:val="003043B7"/>
    <w:rsid w:val="00304EB8"/>
    <w:rsid w:val="003051F8"/>
    <w:rsid w:val="0030569F"/>
    <w:rsid w:val="00306812"/>
    <w:rsid w:val="00307F6F"/>
    <w:rsid w:val="003116B4"/>
    <w:rsid w:val="00311E0B"/>
    <w:rsid w:val="00311FFD"/>
    <w:rsid w:val="00312B15"/>
    <w:rsid w:val="00312C78"/>
    <w:rsid w:val="00312D4A"/>
    <w:rsid w:val="00312F83"/>
    <w:rsid w:val="0031306A"/>
    <w:rsid w:val="00313495"/>
    <w:rsid w:val="0031355B"/>
    <w:rsid w:val="0031373A"/>
    <w:rsid w:val="00313881"/>
    <w:rsid w:val="00313923"/>
    <w:rsid w:val="003140CB"/>
    <w:rsid w:val="00314BCC"/>
    <w:rsid w:val="00314C2E"/>
    <w:rsid w:val="0031512A"/>
    <w:rsid w:val="00315278"/>
    <w:rsid w:val="00315F94"/>
    <w:rsid w:val="0031702D"/>
    <w:rsid w:val="00317B3F"/>
    <w:rsid w:val="00317FE9"/>
    <w:rsid w:val="0032035F"/>
    <w:rsid w:val="00320E9A"/>
    <w:rsid w:val="0032152D"/>
    <w:rsid w:val="003215CF"/>
    <w:rsid w:val="00321C02"/>
    <w:rsid w:val="00321F1C"/>
    <w:rsid w:val="0032215F"/>
    <w:rsid w:val="0032217F"/>
    <w:rsid w:val="003225D8"/>
    <w:rsid w:val="003233EF"/>
    <w:rsid w:val="003243AB"/>
    <w:rsid w:val="00324400"/>
    <w:rsid w:val="00324D70"/>
    <w:rsid w:val="0032549A"/>
    <w:rsid w:val="0032561A"/>
    <w:rsid w:val="00326046"/>
    <w:rsid w:val="00326200"/>
    <w:rsid w:val="00326B90"/>
    <w:rsid w:val="00326C90"/>
    <w:rsid w:val="00327320"/>
    <w:rsid w:val="00330206"/>
    <w:rsid w:val="003305FA"/>
    <w:rsid w:val="00331A9C"/>
    <w:rsid w:val="0033284F"/>
    <w:rsid w:val="00332F7B"/>
    <w:rsid w:val="00333041"/>
    <w:rsid w:val="003332C1"/>
    <w:rsid w:val="00333427"/>
    <w:rsid w:val="00335548"/>
    <w:rsid w:val="003358CD"/>
    <w:rsid w:val="00335EC8"/>
    <w:rsid w:val="0033620B"/>
    <w:rsid w:val="00336636"/>
    <w:rsid w:val="00336BCE"/>
    <w:rsid w:val="00337220"/>
    <w:rsid w:val="00337326"/>
    <w:rsid w:val="00337F3A"/>
    <w:rsid w:val="00340695"/>
    <w:rsid w:val="003408EB"/>
    <w:rsid w:val="003414C1"/>
    <w:rsid w:val="00341929"/>
    <w:rsid w:val="0034204E"/>
    <w:rsid w:val="003435AF"/>
    <w:rsid w:val="003435B0"/>
    <w:rsid w:val="00344471"/>
    <w:rsid w:val="00344626"/>
    <w:rsid w:val="003446AE"/>
    <w:rsid w:val="00344F29"/>
    <w:rsid w:val="0034564E"/>
    <w:rsid w:val="00345BCA"/>
    <w:rsid w:val="00345EC7"/>
    <w:rsid w:val="003460FE"/>
    <w:rsid w:val="00346108"/>
    <w:rsid w:val="003465E5"/>
    <w:rsid w:val="00347E4F"/>
    <w:rsid w:val="00350A89"/>
    <w:rsid w:val="00350A90"/>
    <w:rsid w:val="00350D97"/>
    <w:rsid w:val="00351C0F"/>
    <w:rsid w:val="00351E3C"/>
    <w:rsid w:val="00352DE7"/>
    <w:rsid w:val="0035363B"/>
    <w:rsid w:val="00353B59"/>
    <w:rsid w:val="00354E03"/>
    <w:rsid w:val="0035593C"/>
    <w:rsid w:val="00355B00"/>
    <w:rsid w:val="003561A2"/>
    <w:rsid w:val="0035620C"/>
    <w:rsid w:val="0035693B"/>
    <w:rsid w:val="00360363"/>
    <w:rsid w:val="0036070A"/>
    <w:rsid w:val="003611EB"/>
    <w:rsid w:val="003612B4"/>
    <w:rsid w:val="003635FF"/>
    <w:rsid w:val="0036475E"/>
    <w:rsid w:val="00364E4E"/>
    <w:rsid w:val="003655EF"/>
    <w:rsid w:val="003659D5"/>
    <w:rsid w:val="00365E16"/>
    <w:rsid w:val="00365F5A"/>
    <w:rsid w:val="003662E1"/>
    <w:rsid w:val="0036687E"/>
    <w:rsid w:val="003668A9"/>
    <w:rsid w:val="00366A13"/>
    <w:rsid w:val="003673FA"/>
    <w:rsid w:val="003709B2"/>
    <w:rsid w:val="00370CD1"/>
    <w:rsid w:val="0037123C"/>
    <w:rsid w:val="00371B1A"/>
    <w:rsid w:val="00371DFB"/>
    <w:rsid w:val="00372610"/>
    <w:rsid w:val="00372E46"/>
    <w:rsid w:val="00373007"/>
    <w:rsid w:val="00373E0A"/>
    <w:rsid w:val="0037424C"/>
    <w:rsid w:val="00374498"/>
    <w:rsid w:val="00374974"/>
    <w:rsid w:val="00374EF2"/>
    <w:rsid w:val="0037523A"/>
    <w:rsid w:val="00375A80"/>
    <w:rsid w:val="00375CA8"/>
    <w:rsid w:val="00375FD2"/>
    <w:rsid w:val="003760C4"/>
    <w:rsid w:val="00376F2F"/>
    <w:rsid w:val="00377101"/>
    <w:rsid w:val="00377172"/>
    <w:rsid w:val="003774AE"/>
    <w:rsid w:val="003776BB"/>
    <w:rsid w:val="0038061E"/>
    <w:rsid w:val="00380B01"/>
    <w:rsid w:val="00381227"/>
    <w:rsid w:val="00381ADC"/>
    <w:rsid w:val="00382E2C"/>
    <w:rsid w:val="00384802"/>
    <w:rsid w:val="00384874"/>
    <w:rsid w:val="00384E70"/>
    <w:rsid w:val="00385074"/>
    <w:rsid w:val="003854F5"/>
    <w:rsid w:val="0038568C"/>
    <w:rsid w:val="003858CE"/>
    <w:rsid w:val="00385AA8"/>
    <w:rsid w:val="003860B1"/>
    <w:rsid w:val="00387081"/>
    <w:rsid w:val="003879EF"/>
    <w:rsid w:val="003909A7"/>
    <w:rsid w:val="00390A8B"/>
    <w:rsid w:val="003910BE"/>
    <w:rsid w:val="00392448"/>
    <w:rsid w:val="00392AB2"/>
    <w:rsid w:val="003933B2"/>
    <w:rsid w:val="00393462"/>
    <w:rsid w:val="00393C64"/>
    <w:rsid w:val="00394A8B"/>
    <w:rsid w:val="00394C9D"/>
    <w:rsid w:val="00394F38"/>
    <w:rsid w:val="00395577"/>
    <w:rsid w:val="003958D8"/>
    <w:rsid w:val="00395F3D"/>
    <w:rsid w:val="00396AFE"/>
    <w:rsid w:val="0039725C"/>
    <w:rsid w:val="00397EA3"/>
    <w:rsid w:val="003A07C9"/>
    <w:rsid w:val="003A0F61"/>
    <w:rsid w:val="003A1BEE"/>
    <w:rsid w:val="003A262C"/>
    <w:rsid w:val="003A2682"/>
    <w:rsid w:val="003A3B6E"/>
    <w:rsid w:val="003A4CA3"/>
    <w:rsid w:val="003A4CAF"/>
    <w:rsid w:val="003A51B1"/>
    <w:rsid w:val="003A5456"/>
    <w:rsid w:val="003A58CF"/>
    <w:rsid w:val="003A58F8"/>
    <w:rsid w:val="003A6E36"/>
    <w:rsid w:val="003A78FE"/>
    <w:rsid w:val="003B1023"/>
    <w:rsid w:val="003B10AC"/>
    <w:rsid w:val="003B1462"/>
    <w:rsid w:val="003B157C"/>
    <w:rsid w:val="003B1609"/>
    <w:rsid w:val="003B2654"/>
    <w:rsid w:val="003B2716"/>
    <w:rsid w:val="003B3080"/>
    <w:rsid w:val="003B332B"/>
    <w:rsid w:val="003B38C7"/>
    <w:rsid w:val="003B478D"/>
    <w:rsid w:val="003B4A8F"/>
    <w:rsid w:val="003B6492"/>
    <w:rsid w:val="003B680F"/>
    <w:rsid w:val="003B7325"/>
    <w:rsid w:val="003B772C"/>
    <w:rsid w:val="003B7C8C"/>
    <w:rsid w:val="003B7FA0"/>
    <w:rsid w:val="003C04D8"/>
    <w:rsid w:val="003C064F"/>
    <w:rsid w:val="003C0881"/>
    <w:rsid w:val="003C1542"/>
    <w:rsid w:val="003C21D8"/>
    <w:rsid w:val="003C2629"/>
    <w:rsid w:val="003C290B"/>
    <w:rsid w:val="003C2A02"/>
    <w:rsid w:val="003C2BE8"/>
    <w:rsid w:val="003C3E7E"/>
    <w:rsid w:val="003C4C29"/>
    <w:rsid w:val="003C5145"/>
    <w:rsid w:val="003C5A62"/>
    <w:rsid w:val="003C5C1C"/>
    <w:rsid w:val="003C7888"/>
    <w:rsid w:val="003C7CE8"/>
    <w:rsid w:val="003D041C"/>
    <w:rsid w:val="003D0560"/>
    <w:rsid w:val="003D1627"/>
    <w:rsid w:val="003D1687"/>
    <w:rsid w:val="003D21AD"/>
    <w:rsid w:val="003D24F1"/>
    <w:rsid w:val="003D261A"/>
    <w:rsid w:val="003D2690"/>
    <w:rsid w:val="003D2D3C"/>
    <w:rsid w:val="003D2EEB"/>
    <w:rsid w:val="003D349B"/>
    <w:rsid w:val="003D4F4A"/>
    <w:rsid w:val="003D5734"/>
    <w:rsid w:val="003D5DF6"/>
    <w:rsid w:val="003D63F2"/>
    <w:rsid w:val="003D6532"/>
    <w:rsid w:val="003D7AFC"/>
    <w:rsid w:val="003E091D"/>
    <w:rsid w:val="003E0B02"/>
    <w:rsid w:val="003E142F"/>
    <w:rsid w:val="003E1984"/>
    <w:rsid w:val="003E198E"/>
    <w:rsid w:val="003E2464"/>
    <w:rsid w:val="003E3841"/>
    <w:rsid w:val="003E3990"/>
    <w:rsid w:val="003E3CA3"/>
    <w:rsid w:val="003E40EE"/>
    <w:rsid w:val="003E465A"/>
    <w:rsid w:val="003E49CB"/>
    <w:rsid w:val="003E4FCC"/>
    <w:rsid w:val="003E5E33"/>
    <w:rsid w:val="003E79DB"/>
    <w:rsid w:val="003E7BF8"/>
    <w:rsid w:val="003E7DB8"/>
    <w:rsid w:val="003F045A"/>
    <w:rsid w:val="003F05D3"/>
    <w:rsid w:val="003F0F9A"/>
    <w:rsid w:val="003F2837"/>
    <w:rsid w:val="003F28B6"/>
    <w:rsid w:val="003F2E9E"/>
    <w:rsid w:val="003F43CD"/>
    <w:rsid w:val="003F56BD"/>
    <w:rsid w:val="003F5D38"/>
    <w:rsid w:val="003F5F89"/>
    <w:rsid w:val="003F6470"/>
    <w:rsid w:val="003F67CF"/>
    <w:rsid w:val="003F7B8F"/>
    <w:rsid w:val="00400EA4"/>
    <w:rsid w:val="00401548"/>
    <w:rsid w:val="00401929"/>
    <w:rsid w:val="00401950"/>
    <w:rsid w:val="00401E8E"/>
    <w:rsid w:val="00401EBC"/>
    <w:rsid w:val="0040284C"/>
    <w:rsid w:val="00403D48"/>
    <w:rsid w:val="0040419C"/>
    <w:rsid w:val="00404B85"/>
    <w:rsid w:val="00405079"/>
    <w:rsid w:val="004053B3"/>
    <w:rsid w:val="004059D4"/>
    <w:rsid w:val="00406DE1"/>
    <w:rsid w:val="004071BD"/>
    <w:rsid w:val="0041066C"/>
    <w:rsid w:val="00410C0A"/>
    <w:rsid w:val="00412926"/>
    <w:rsid w:val="0041371C"/>
    <w:rsid w:val="004155B7"/>
    <w:rsid w:val="004166A9"/>
    <w:rsid w:val="00416793"/>
    <w:rsid w:val="00417CA5"/>
    <w:rsid w:val="00420462"/>
    <w:rsid w:val="0042091A"/>
    <w:rsid w:val="0042095D"/>
    <w:rsid w:val="00420992"/>
    <w:rsid w:val="004223AC"/>
    <w:rsid w:val="00422D51"/>
    <w:rsid w:val="00422F4C"/>
    <w:rsid w:val="0042351E"/>
    <w:rsid w:val="00423742"/>
    <w:rsid w:val="00424289"/>
    <w:rsid w:val="00424316"/>
    <w:rsid w:val="0042477D"/>
    <w:rsid w:val="00426604"/>
    <w:rsid w:val="00427338"/>
    <w:rsid w:val="00427434"/>
    <w:rsid w:val="00427D6B"/>
    <w:rsid w:val="00427EDC"/>
    <w:rsid w:val="00431C00"/>
    <w:rsid w:val="00432069"/>
    <w:rsid w:val="004320AE"/>
    <w:rsid w:val="0043285F"/>
    <w:rsid w:val="00432BFC"/>
    <w:rsid w:val="00433146"/>
    <w:rsid w:val="00434072"/>
    <w:rsid w:val="004351FE"/>
    <w:rsid w:val="0043669D"/>
    <w:rsid w:val="00436D9B"/>
    <w:rsid w:val="00437F77"/>
    <w:rsid w:val="00440612"/>
    <w:rsid w:val="00442DAB"/>
    <w:rsid w:val="00443187"/>
    <w:rsid w:val="00443869"/>
    <w:rsid w:val="00443F38"/>
    <w:rsid w:val="00444C82"/>
    <w:rsid w:val="00444CD4"/>
    <w:rsid w:val="00445263"/>
    <w:rsid w:val="00445456"/>
    <w:rsid w:val="004472A3"/>
    <w:rsid w:val="00447593"/>
    <w:rsid w:val="00447672"/>
    <w:rsid w:val="00447CBA"/>
    <w:rsid w:val="00450BFE"/>
    <w:rsid w:val="00451D37"/>
    <w:rsid w:val="004522D8"/>
    <w:rsid w:val="00452327"/>
    <w:rsid w:val="00452969"/>
    <w:rsid w:val="00452FFB"/>
    <w:rsid w:val="0045352A"/>
    <w:rsid w:val="00453EB7"/>
    <w:rsid w:val="00453F02"/>
    <w:rsid w:val="00453F64"/>
    <w:rsid w:val="00454AF2"/>
    <w:rsid w:val="00454D5C"/>
    <w:rsid w:val="00455B67"/>
    <w:rsid w:val="00456E28"/>
    <w:rsid w:val="00457AE5"/>
    <w:rsid w:val="00457C88"/>
    <w:rsid w:val="00457E6D"/>
    <w:rsid w:val="0046057A"/>
    <w:rsid w:val="0046274C"/>
    <w:rsid w:val="004645A1"/>
    <w:rsid w:val="00464A79"/>
    <w:rsid w:val="00464BB4"/>
    <w:rsid w:val="004657C2"/>
    <w:rsid w:val="00465FC8"/>
    <w:rsid w:val="00466154"/>
    <w:rsid w:val="00467059"/>
    <w:rsid w:val="0047072C"/>
    <w:rsid w:val="00470C9B"/>
    <w:rsid w:val="0047357D"/>
    <w:rsid w:val="00473B6F"/>
    <w:rsid w:val="004741A8"/>
    <w:rsid w:val="004743C6"/>
    <w:rsid w:val="004744A2"/>
    <w:rsid w:val="0047475F"/>
    <w:rsid w:val="004749C8"/>
    <w:rsid w:val="00475F70"/>
    <w:rsid w:val="004760C7"/>
    <w:rsid w:val="00476242"/>
    <w:rsid w:val="00476BAA"/>
    <w:rsid w:val="00476F15"/>
    <w:rsid w:val="00476F61"/>
    <w:rsid w:val="00477A93"/>
    <w:rsid w:val="00477DFB"/>
    <w:rsid w:val="004800F1"/>
    <w:rsid w:val="00480E54"/>
    <w:rsid w:val="0048192F"/>
    <w:rsid w:val="00482372"/>
    <w:rsid w:val="00483035"/>
    <w:rsid w:val="00483265"/>
    <w:rsid w:val="00483AFA"/>
    <w:rsid w:val="00483E93"/>
    <w:rsid w:val="004849AB"/>
    <w:rsid w:val="004857ED"/>
    <w:rsid w:val="00486C34"/>
    <w:rsid w:val="00487E10"/>
    <w:rsid w:val="0049035A"/>
    <w:rsid w:val="00490553"/>
    <w:rsid w:val="0049103D"/>
    <w:rsid w:val="0049138A"/>
    <w:rsid w:val="00491EFD"/>
    <w:rsid w:val="004931B5"/>
    <w:rsid w:val="00493DE8"/>
    <w:rsid w:val="00494021"/>
    <w:rsid w:val="00494563"/>
    <w:rsid w:val="00494BFC"/>
    <w:rsid w:val="004951C7"/>
    <w:rsid w:val="0049526F"/>
    <w:rsid w:val="004953D9"/>
    <w:rsid w:val="00495AF7"/>
    <w:rsid w:val="00496A62"/>
    <w:rsid w:val="00496F43"/>
    <w:rsid w:val="00497349"/>
    <w:rsid w:val="0049755F"/>
    <w:rsid w:val="00497BDF"/>
    <w:rsid w:val="004A0006"/>
    <w:rsid w:val="004A0CFB"/>
    <w:rsid w:val="004A123B"/>
    <w:rsid w:val="004A1CA6"/>
    <w:rsid w:val="004A20AF"/>
    <w:rsid w:val="004A2778"/>
    <w:rsid w:val="004A2D07"/>
    <w:rsid w:val="004A35D2"/>
    <w:rsid w:val="004A3E2F"/>
    <w:rsid w:val="004A48E4"/>
    <w:rsid w:val="004A48FD"/>
    <w:rsid w:val="004A4FFB"/>
    <w:rsid w:val="004A50DF"/>
    <w:rsid w:val="004A5668"/>
    <w:rsid w:val="004A5B3E"/>
    <w:rsid w:val="004A5D72"/>
    <w:rsid w:val="004A61A5"/>
    <w:rsid w:val="004A632D"/>
    <w:rsid w:val="004A6456"/>
    <w:rsid w:val="004A70CD"/>
    <w:rsid w:val="004B0523"/>
    <w:rsid w:val="004B09D7"/>
    <w:rsid w:val="004B0B7B"/>
    <w:rsid w:val="004B2B61"/>
    <w:rsid w:val="004B3133"/>
    <w:rsid w:val="004B491D"/>
    <w:rsid w:val="004B5CDA"/>
    <w:rsid w:val="004B6830"/>
    <w:rsid w:val="004B73A2"/>
    <w:rsid w:val="004B7E97"/>
    <w:rsid w:val="004C01C3"/>
    <w:rsid w:val="004C0C32"/>
    <w:rsid w:val="004C3C52"/>
    <w:rsid w:val="004C40D2"/>
    <w:rsid w:val="004C4264"/>
    <w:rsid w:val="004C48F6"/>
    <w:rsid w:val="004C54BA"/>
    <w:rsid w:val="004C55EE"/>
    <w:rsid w:val="004C59EF"/>
    <w:rsid w:val="004C6460"/>
    <w:rsid w:val="004C7320"/>
    <w:rsid w:val="004C778B"/>
    <w:rsid w:val="004D02EC"/>
    <w:rsid w:val="004D0323"/>
    <w:rsid w:val="004D07A2"/>
    <w:rsid w:val="004D07C4"/>
    <w:rsid w:val="004D0B09"/>
    <w:rsid w:val="004D2A23"/>
    <w:rsid w:val="004D2DC8"/>
    <w:rsid w:val="004D32CC"/>
    <w:rsid w:val="004D3B86"/>
    <w:rsid w:val="004D3C8F"/>
    <w:rsid w:val="004D5AB8"/>
    <w:rsid w:val="004D61A6"/>
    <w:rsid w:val="004D67DC"/>
    <w:rsid w:val="004D69DD"/>
    <w:rsid w:val="004D6BC8"/>
    <w:rsid w:val="004E0290"/>
    <w:rsid w:val="004E05F5"/>
    <w:rsid w:val="004E06D6"/>
    <w:rsid w:val="004E1148"/>
    <w:rsid w:val="004E17AB"/>
    <w:rsid w:val="004E1EA7"/>
    <w:rsid w:val="004E1FB9"/>
    <w:rsid w:val="004E2F05"/>
    <w:rsid w:val="004E3133"/>
    <w:rsid w:val="004E31C0"/>
    <w:rsid w:val="004E5787"/>
    <w:rsid w:val="004E5794"/>
    <w:rsid w:val="004E5873"/>
    <w:rsid w:val="004E5C8A"/>
    <w:rsid w:val="004E65FF"/>
    <w:rsid w:val="004E684E"/>
    <w:rsid w:val="004E6A83"/>
    <w:rsid w:val="004E6B29"/>
    <w:rsid w:val="004E7176"/>
    <w:rsid w:val="004E7338"/>
    <w:rsid w:val="004E7A03"/>
    <w:rsid w:val="004E7BE1"/>
    <w:rsid w:val="004F08CE"/>
    <w:rsid w:val="004F0E20"/>
    <w:rsid w:val="004F0F9F"/>
    <w:rsid w:val="004F181A"/>
    <w:rsid w:val="004F1D70"/>
    <w:rsid w:val="004F2BBA"/>
    <w:rsid w:val="004F2FCF"/>
    <w:rsid w:val="004F40A6"/>
    <w:rsid w:val="004F58B3"/>
    <w:rsid w:val="004F5DAE"/>
    <w:rsid w:val="004F60D5"/>
    <w:rsid w:val="004F6835"/>
    <w:rsid w:val="00501C15"/>
    <w:rsid w:val="00501C67"/>
    <w:rsid w:val="0050212C"/>
    <w:rsid w:val="00502712"/>
    <w:rsid w:val="005027CB"/>
    <w:rsid w:val="00503028"/>
    <w:rsid w:val="00503080"/>
    <w:rsid w:val="00503322"/>
    <w:rsid w:val="00504057"/>
    <w:rsid w:val="00504C1F"/>
    <w:rsid w:val="0050502F"/>
    <w:rsid w:val="00505A38"/>
    <w:rsid w:val="00505F71"/>
    <w:rsid w:val="005060B5"/>
    <w:rsid w:val="005071C1"/>
    <w:rsid w:val="00507580"/>
    <w:rsid w:val="00507861"/>
    <w:rsid w:val="00510E0A"/>
    <w:rsid w:val="005111B7"/>
    <w:rsid w:val="0051126B"/>
    <w:rsid w:val="005112BD"/>
    <w:rsid w:val="0051174C"/>
    <w:rsid w:val="00512095"/>
    <w:rsid w:val="00513DD9"/>
    <w:rsid w:val="00513E09"/>
    <w:rsid w:val="00514E79"/>
    <w:rsid w:val="00515611"/>
    <w:rsid w:val="00515D0B"/>
    <w:rsid w:val="00515F57"/>
    <w:rsid w:val="00516BA3"/>
    <w:rsid w:val="005174A1"/>
    <w:rsid w:val="0051789E"/>
    <w:rsid w:val="00517F62"/>
    <w:rsid w:val="00520347"/>
    <w:rsid w:val="0052216C"/>
    <w:rsid w:val="00522599"/>
    <w:rsid w:val="00522619"/>
    <w:rsid w:val="00522E8C"/>
    <w:rsid w:val="0052316C"/>
    <w:rsid w:val="005238DC"/>
    <w:rsid w:val="00523D9A"/>
    <w:rsid w:val="0052417A"/>
    <w:rsid w:val="0052504A"/>
    <w:rsid w:val="00525758"/>
    <w:rsid w:val="00525889"/>
    <w:rsid w:val="00525BFD"/>
    <w:rsid w:val="00526264"/>
    <w:rsid w:val="005263D2"/>
    <w:rsid w:val="00527C60"/>
    <w:rsid w:val="00527D88"/>
    <w:rsid w:val="00527DE5"/>
    <w:rsid w:val="00530237"/>
    <w:rsid w:val="00530DCE"/>
    <w:rsid w:val="00531C43"/>
    <w:rsid w:val="00532FAE"/>
    <w:rsid w:val="00533818"/>
    <w:rsid w:val="00533BC4"/>
    <w:rsid w:val="00533DAD"/>
    <w:rsid w:val="0053656E"/>
    <w:rsid w:val="00536941"/>
    <w:rsid w:val="005369A3"/>
    <w:rsid w:val="00536B11"/>
    <w:rsid w:val="00536B12"/>
    <w:rsid w:val="00536C94"/>
    <w:rsid w:val="0053713A"/>
    <w:rsid w:val="00541178"/>
    <w:rsid w:val="00541688"/>
    <w:rsid w:val="0054226A"/>
    <w:rsid w:val="005434C2"/>
    <w:rsid w:val="00543555"/>
    <w:rsid w:val="00543AB9"/>
    <w:rsid w:val="00543C9E"/>
    <w:rsid w:val="005441BC"/>
    <w:rsid w:val="005444CA"/>
    <w:rsid w:val="0054459F"/>
    <w:rsid w:val="00544F81"/>
    <w:rsid w:val="00545206"/>
    <w:rsid w:val="005452F4"/>
    <w:rsid w:val="0054565E"/>
    <w:rsid w:val="00545B84"/>
    <w:rsid w:val="00545E60"/>
    <w:rsid w:val="00545ED7"/>
    <w:rsid w:val="00547459"/>
    <w:rsid w:val="005475FC"/>
    <w:rsid w:val="00547C0D"/>
    <w:rsid w:val="00547D7E"/>
    <w:rsid w:val="00550A7A"/>
    <w:rsid w:val="00550F26"/>
    <w:rsid w:val="0055177A"/>
    <w:rsid w:val="005519E5"/>
    <w:rsid w:val="00551D13"/>
    <w:rsid w:val="00551DF0"/>
    <w:rsid w:val="005531C9"/>
    <w:rsid w:val="00553F31"/>
    <w:rsid w:val="00554DD3"/>
    <w:rsid w:val="005554BF"/>
    <w:rsid w:val="00556D6B"/>
    <w:rsid w:val="00556EF0"/>
    <w:rsid w:val="00557162"/>
    <w:rsid w:val="005571D1"/>
    <w:rsid w:val="00557A66"/>
    <w:rsid w:val="00557A84"/>
    <w:rsid w:val="00557AC7"/>
    <w:rsid w:val="00557E24"/>
    <w:rsid w:val="00560DFD"/>
    <w:rsid w:val="00560E3B"/>
    <w:rsid w:val="0056183D"/>
    <w:rsid w:val="00561A44"/>
    <w:rsid w:val="00562268"/>
    <w:rsid w:val="00562B5A"/>
    <w:rsid w:val="005632A8"/>
    <w:rsid w:val="005639AB"/>
    <w:rsid w:val="00563CFF"/>
    <w:rsid w:val="00564066"/>
    <w:rsid w:val="005655AD"/>
    <w:rsid w:val="00565EF0"/>
    <w:rsid w:val="005667BB"/>
    <w:rsid w:val="00567291"/>
    <w:rsid w:val="005707E2"/>
    <w:rsid w:val="00570E1D"/>
    <w:rsid w:val="005712FF"/>
    <w:rsid w:val="00571538"/>
    <w:rsid w:val="00571EFA"/>
    <w:rsid w:val="00572008"/>
    <w:rsid w:val="005722DE"/>
    <w:rsid w:val="00573EFD"/>
    <w:rsid w:val="00574A9C"/>
    <w:rsid w:val="00575321"/>
    <w:rsid w:val="00576578"/>
    <w:rsid w:val="005769C0"/>
    <w:rsid w:val="005773A8"/>
    <w:rsid w:val="00577CA7"/>
    <w:rsid w:val="0058134F"/>
    <w:rsid w:val="005813F1"/>
    <w:rsid w:val="00581C48"/>
    <w:rsid w:val="00581D72"/>
    <w:rsid w:val="0058289C"/>
    <w:rsid w:val="00582CD6"/>
    <w:rsid w:val="0058360E"/>
    <w:rsid w:val="005839EC"/>
    <w:rsid w:val="00583E67"/>
    <w:rsid w:val="00584AD5"/>
    <w:rsid w:val="00584B94"/>
    <w:rsid w:val="00585C54"/>
    <w:rsid w:val="00585D3E"/>
    <w:rsid w:val="00586153"/>
    <w:rsid w:val="005864A4"/>
    <w:rsid w:val="00586738"/>
    <w:rsid w:val="005867C2"/>
    <w:rsid w:val="00586EB1"/>
    <w:rsid w:val="0058762C"/>
    <w:rsid w:val="00587ADE"/>
    <w:rsid w:val="00587B5C"/>
    <w:rsid w:val="00587FB2"/>
    <w:rsid w:val="00590D35"/>
    <w:rsid w:val="00590FA3"/>
    <w:rsid w:val="005912C5"/>
    <w:rsid w:val="00591783"/>
    <w:rsid w:val="00591AD0"/>
    <w:rsid w:val="005923FB"/>
    <w:rsid w:val="00592B08"/>
    <w:rsid w:val="00592C2B"/>
    <w:rsid w:val="005934B3"/>
    <w:rsid w:val="005941AD"/>
    <w:rsid w:val="0059472E"/>
    <w:rsid w:val="00595982"/>
    <w:rsid w:val="00595C1A"/>
    <w:rsid w:val="00596604"/>
    <w:rsid w:val="00596674"/>
    <w:rsid w:val="00597210"/>
    <w:rsid w:val="005A0A21"/>
    <w:rsid w:val="005A0C48"/>
    <w:rsid w:val="005A0EF7"/>
    <w:rsid w:val="005A1062"/>
    <w:rsid w:val="005A1423"/>
    <w:rsid w:val="005A146E"/>
    <w:rsid w:val="005A221C"/>
    <w:rsid w:val="005A2B9F"/>
    <w:rsid w:val="005A2EB8"/>
    <w:rsid w:val="005A32F2"/>
    <w:rsid w:val="005A36C5"/>
    <w:rsid w:val="005A3F8E"/>
    <w:rsid w:val="005A4CA9"/>
    <w:rsid w:val="005A536D"/>
    <w:rsid w:val="005A5602"/>
    <w:rsid w:val="005A636F"/>
    <w:rsid w:val="005A6CEE"/>
    <w:rsid w:val="005A706C"/>
    <w:rsid w:val="005A7DC4"/>
    <w:rsid w:val="005B03BF"/>
    <w:rsid w:val="005B0A18"/>
    <w:rsid w:val="005B0C06"/>
    <w:rsid w:val="005B147C"/>
    <w:rsid w:val="005B1809"/>
    <w:rsid w:val="005B1F2E"/>
    <w:rsid w:val="005B2420"/>
    <w:rsid w:val="005B32D8"/>
    <w:rsid w:val="005B3451"/>
    <w:rsid w:val="005B3A83"/>
    <w:rsid w:val="005B3EFE"/>
    <w:rsid w:val="005B40AF"/>
    <w:rsid w:val="005B4224"/>
    <w:rsid w:val="005B540C"/>
    <w:rsid w:val="005B55F2"/>
    <w:rsid w:val="005B57BC"/>
    <w:rsid w:val="005B5CAF"/>
    <w:rsid w:val="005B6936"/>
    <w:rsid w:val="005B757C"/>
    <w:rsid w:val="005C001C"/>
    <w:rsid w:val="005C1194"/>
    <w:rsid w:val="005C1EBA"/>
    <w:rsid w:val="005C26AE"/>
    <w:rsid w:val="005C3A5F"/>
    <w:rsid w:val="005C3E48"/>
    <w:rsid w:val="005C43DE"/>
    <w:rsid w:val="005C466D"/>
    <w:rsid w:val="005C48EA"/>
    <w:rsid w:val="005C6690"/>
    <w:rsid w:val="005C7780"/>
    <w:rsid w:val="005D1532"/>
    <w:rsid w:val="005D1A3C"/>
    <w:rsid w:val="005D1BDD"/>
    <w:rsid w:val="005D2250"/>
    <w:rsid w:val="005D2989"/>
    <w:rsid w:val="005D3EAC"/>
    <w:rsid w:val="005D50B3"/>
    <w:rsid w:val="005D516E"/>
    <w:rsid w:val="005D5E2D"/>
    <w:rsid w:val="005D626E"/>
    <w:rsid w:val="005D6966"/>
    <w:rsid w:val="005D6EDA"/>
    <w:rsid w:val="005D7355"/>
    <w:rsid w:val="005D7CD5"/>
    <w:rsid w:val="005E0BEE"/>
    <w:rsid w:val="005E1071"/>
    <w:rsid w:val="005E1E88"/>
    <w:rsid w:val="005E262D"/>
    <w:rsid w:val="005E2E32"/>
    <w:rsid w:val="005E34FA"/>
    <w:rsid w:val="005E4903"/>
    <w:rsid w:val="005E4E6E"/>
    <w:rsid w:val="005E5326"/>
    <w:rsid w:val="005E59E3"/>
    <w:rsid w:val="005E6334"/>
    <w:rsid w:val="005E69F9"/>
    <w:rsid w:val="005E706E"/>
    <w:rsid w:val="005E72BE"/>
    <w:rsid w:val="005E7782"/>
    <w:rsid w:val="005E783C"/>
    <w:rsid w:val="005E7A25"/>
    <w:rsid w:val="005E7B32"/>
    <w:rsid w:val="005E7D13"/>
    <w:rsid w:val="005F064C"/>
    <w:rsid w:val="005F0A89"/>
    <w:rsid w:val="005F0C3F"/>
    <w:rsid w:val="005F31E0"/>
    <w:rsid w:val="005F4345"/>
    <w:rsid w:val="005F4656"/>
    <w:rsid w:val="005F4CAA"/>
    <w:rsid w:val="005F4E6A"/>
    <w:rsid w:val="005F53BC"/>
    <w:rsid w:val="005F5595"/>
    <w:rsid w:val="005F62BC"/>
    <w:rsid w:val="005F6D29"/>
    <w:rsid w:val="005F7289"/>
    <w:rsid w:val="0060012F"/>
    <w:rsid w:val="006003BE"/>
    <w:rsid w:val="006006A1"/>
    <w:rsid w:val="0060083E"/>
    <w:rsid w:val="00601ACC"/>
    <w:rsid w:val="00601EE2"/>
    <w:rsid w:val="00602C73"/>
    <w:rsid w:val="00602C92"/>
    <w:rsid w:val="00602E9A"/>
    <w:rsid w:val="00603805"/>
    <w:rsid w:val="00603859"/>
    <w:rsid w:val="00604AE1"/>
    <w:rsid w:val="0060547D"/>
    <w:rsid w:val="006059AB"/>
    <w:rsid w:val="00606101"/>
    <w:rsid w:val="006064DE"/>
    <w:rsid w:val="0060719C"/>
    <w:rsid w:val="00607B20"/>
    <w:rsid w:val="00612130"/>
    <w:rsid w:val="006128E7"/>
    <w:rsid w:val="00612943"/>
    <w:rsid w:val="00612ABE"/>
    <w:rsid w:val="006139A0"/>
    <w:rsid w:val="006140DD"/>
    <w:rsid w:val="006150E4"/>
    <w:rsid w:val="00616D5F"/>
    <w:rsid w:val="006172CF"/>
    <w:rsid w:val="00620930"/>
    <w:rsid w:val="00620DEC"/>
    <w:rsid w:val="00620F97"/>
    <w:rsid w:val="00621847"/>
    <w:rsid w:val="006222BC"/>
    <w:rsid w:val="006225E4"/>
    <w:rsid w:val="00622C91"/>
    <w:rsid w:val="00623955"/>
    <w:rsid w:val="0062434D"/>
    <w:rsid w:val="006252FB"/>
    <w:rsid w:val="0062531D"/>
    <w:rsid w:val="00625435"/>
    <w:rsid w:val="006255EE"/>
    <w:rsid w:val="006257AB"/>
    <w:rsid w:val="00625CA5"/>
    <w:rsid w:val="00626ADD"/>
    <w:rsid w:val="00626C4B"/>
    <w:rsid w:val="0062767A"/>
    <w:rsid w:val="00627C55"/>
    <w:rsid w:val="00630136"/>
    <w:rsid w:val="00630176"/>
    <w:rsid w:val="00631598"/>
    <w:rsid w:val="00631E78"/>
    <w:rsid w:val="006322D6"/>
    <w:rsid w:val="0063376C"/>
    <w:rsid w:val="006341EB"/>
    <w:rsid w:val="0063486C"/>
    <w:rsid w:val="00635061"/>
    <w:rsid w:val="00635983"/>
    <w:rsid w:val="00635FA5"/>
    <w:rsid w:val="006363F9"/>
    <w:rsid w:val="00637401"/>
    <w:rsid w:val="0064007E"/>
    <w:rsid w:val="00640531"/>
    <w:rsid w:val="00641520"/>
    <w:rsid w:val="00641970"/>
    <w:rsid w:val="006419D1"/>
    <w:rsid w:val="00641FD9"/>
    <w:rsid w:val="00642002"/>
    <w:rsid w:val="0064206D"/>
    <w:rsid w:val="006428E4"/>
    <w:rsid w:val="006430F5"/>
    <w:rsid w:val="00643266"/>
    <w:rsid w:val="006447CE"/>
    <w:rsid w:val="00644C01"/>
    <w:rsid w:val="00644D9C"/>
    <w:rsid w:val="00645EDA"/>
    <w:rsid w:val="0064608F"/>
    <w:rsid w:val="00646902"/>
    <w:rsid w:val="00646964"/>
    <w:rsid w:val="00646CBF"/>
    <w:rsid w:val="00646EE8"/>
    <w:rsid w:val="006478E2"/>
    <w:rsid w:val="00650864"/>
    <w:rsid w:val="00650D18"/>
    <w:rsid w:val="006521F3"/>
    <w:rsid w:val="00652786"/>
    <w:rsid w:val="006537D2"/>
    <w:rsid w:val="006543DC"/>
    <w:rsid w:val="0065453B"/>
    <w:rsid w:val="0065488B"/>
    <w:rsid w:val="00655056"/>
    <w:rsid w:val="0065552E"/>
    <w:rsid w:val="006555E5"/>
    <w:rsid w:val="0065607B"/>
    <w:rsid w:val="006562BD"/>
    <w:rsid w:val="00656B57"/>
    <w:rsid w:val="00657323"/>
    <w:rsid w:val="006602C6"/>
    <w:rsid w:val="00660482"/>
    <w:rsid w:val="006617AE"/>
    <w:rsid w:val="00661941"/>
    <w:rsid w:val="0066254C"/>
    <w:rsid w:val="00663576"/>
    <w:rsid w:val="00663EAF"/>
    <w:rsid w:val="00664A87"/>
    <w:rsid w:val="00665072"/>
    <w:rsid w:val="006650EA"/>
    <w:rsid w:val="0066582C"/>
    <w:rsid w:val="00665884"/>
    <w:rsid w:val="00666732"/>
    <w:rsid w:val="00670084"/>
    <w:rsid w:val="006704F0"/>
    <w:rsid w:val="00670E2C"/>
    <w:rsid w:val="00670E6B"/>
    <w:rsid w:val="00671027"/>
    <w:rsid w:val="00671095"/>
    <w:rsid w:val="00672660"/>
    <w:rsid w:val="0067311A"/>
    <w:rsid w:val="00673249"/>
    <w:rsid w:val="006733E2"/>
    <w:rsid w:val="0067346E"/>
    <w:rsid w:val="0067415E"/>
    <w:rsid w:val="00674190"/>
    <w:rsid w:val="0067521A"/>
    <w:rsid w:val="006757C4"/>
    <w:rsid w:val="00677EC9"/>
    <w:rsid w:val="00677F5F"/>
    <w:rsid w:val="00680806"/>
    <w:rsid w:val="00680B6A"/>
    <w:rsid w:val="00680D16"/>
    <w:rsid w:val="00681991"/>
    <w:rsid w:val="0068295E"/>
    <w:rsid w:val="00682BA1"/>
    <w:rsid w:val="00682FAA"/>
    <w:rsid w:val="006831A2"/>
    <w:rsid w:val="0068342C"/>
    <w:rsid w:val="006835DA"/>
    <w:rsid w:val="00683856"/>
    <w:rsid w:val="00683B98"/>
    <w:rsid w:val="00683E21"/>
    <w:rsid w:val="00684151"/>
    <w:rsid w:val="00684457"/>
    <w:rsid w:val="00685C4F"/>
    <w:rsid w:val="00686629"/>
    <w:rsid w:val="00686773"/>
    <w:rsid w:val="006869EE"/>
    <w:rsid w:val="00690059"/>
    <w:rsid w:val="006915B5"/>
    <w:rsid w:val="0069190D"/>
    <w:rsid w:val="006924C9"/>
    <w:rsid w:val="00693800"/>
    <w:rsid w:val="00693AD1"/>
    <w:rsid w:val="006948F0"/>
    <w:rsid w:val="00694E27"/>
    <w:rsid w:val="00694EA5"/>
    <w:rsid w:val="00695E0A"/>
    <w:rsid w:val="00696066"/>
    <w:rsid w:val="006961F8"/>
    <w:rsid w:val="0069627F"/>
    <w:rsid w:val="006963D2"/>
    <w:rsid w:val="0069689D"/>
    <w:rsid w:val="006972FB"/>
    <w:rsid w:val="00697B10"/>
    <w:rsid w:val="006A0BE9"/>
    <w:rsid w:val="006A149B"/>
    <w:rsid w:val="006A1654"/>
    <w:rsid w:val="006A1864"/>
    <w:rsid w:val="006A1CAA"/>
    <w:rsid w:val="006A1D8D"/>
    <w:rsid w:val="006A25AD"/>
    <w:rsid w:val="006A2DC5"/>
    <w:rsid w:val="006A4264"/>
    <w:rsid w:val="006A4E32"/>
    <w:rsid w:val="006A57EB"/>
    <w:rsid w:val="006A610B"/>
    <w:rsid w:val="006A6162"/>
    <w:rsid w:val="006A6195"/>
    <w:rsid w:val="006A6450"/>
    <w:rsid w:val="006A684F"/>
    <w:rsid w:val="006A6C9C"/>
    <w:rsid w:val="006A74C6"/>
    <w:rsid w:val="006A7502"/>
    <w:rsid w:val="006B0261"/>
    <w:rsid w:val="006B20E4"/>
    <w:rsid w:val="006B2508"/>
    <w:rsid w:val="006B2D08"/>
    <w:rsid w:val="006B33FC"/>
    <w:rsid w:val="006B3514"/>
    <w:rsid w:val="006B3D5E"/>
    <w:rsid w:val="006B3D8C"/>
    <w:rsid w:val="006B4168"/>
    <w:rsid w:val="006B4B0E"/>
    <w:rsid w:val="006B4C6A"/>
    <w:rsid w:val="006B502E"/>
    <w:rsid w:val="006B59E8"/>
    <w:rsid w:val="006B6C13"/>
    <w:rsid w:val="006B71B0"/>
    <w:rsid w:val="006C00BA"/>
    <w:rsid w:val="006C08F2"/>
    <w:rsid w:val="006C0B83"/>
    <w:rsid w:val="006C0EFE"/>
    <w:rsid w:val="006C10C4"/>
    <w:rsid w:val="006C1242"/>
    <w:rsid w:val="006C16EE"/>
    <w:rsid w:val="006C1C73"/>
    <w:rsid w:val="006C2621"/>
    <w:rsid w:val="006C2D52"/>
    <w:rsid w:val="006C3500"/>
    <w:rsid w:val="006C3667"/>
    <w:rsid w:val="006C3D44"/>
    <w:rsid w:val="006C3FEE"/>
    <w:rsid w:val="006C4BD2"/>
    <w:rsid w:val="006C5698"/>
    <w:rsid w:val="006C5941"/>
    <w:rsid w:val="006C684A"/>
    <w:rsid w:val="006C6BE6"/>
    <w:rsid w:val="006C6C2E"/>
    <w:rsid w:val="006C6F45"/>
    <w:rsid w:val="006C78EB"/>
    <w:rsid w:val="006C78F3"/>
    <w:rsid w:val="006C7CC4"/>
    <w:rsid w:val="006C7D75"/>
    <w:rsid w:val="006D073A"/>
    <w:rsid w:val="006D0FA6"/>
    <w:rsid w:val="006D173D"/>
    <w:rsid w:val="006D1C7F"/>
    <w:rsid w:val="006D1D42"/>
    <w:rsid w:val="006D2CF7"/>
    <w:rsid w:val="006D3047"/>
    <w:rsid w:val="006D35B7"/>
    <w:rsid w:val="006D40EF"/>
    <w:rsid w:val="006D448F"/>
    <w:rsid w:val="006D4627"/>
    <w:rsid w:val="006D4851"/>
    <w:rsid w:val="006D487E"/>
    <w:rsid w:val="006D516A"/>
    <w:rsid w:val="006D57E3"/>
    <w:rsid w:val="006D5C56"/>
    <w:rsid w:val="006D5C5A"/>
    <w:rsid w:val="006D65C0"/>
    <w:rsid w:val="006D660F"/>
    <w:rsid w:val="006D6AB7"/>
    <w:rsid w:val="006E0EAA"/>
    <w:rsid w:val="006E2165"/>
    <w:rsid w:val="006E23FE"/>
    <w:rsid w:val="006E241E"/>
    <w:rsid w:val="006E2BF8"/>
    <w:rsid w:val="006E2C18"/>
    <w:rsid w:val="006E2D4D"/>
    <w:rsid w:val="006E3196"/>
    <w:rsid w:val="006E32AC"/>
    <w:rsid w:val="006E3315"/>
    <w:rsid w:val="006E3852"/>
    <w:rsid w:val="006E3DEC"/>
    <w:rsid w:val="006E43CC"/>
    <w:rsid w:val="006E464E"/>
    <w:rsid w:val="006E4D57"/>
    <w:rsid w:val="006E5F93"/>
    <w:rsid w:val="006E7149"/>
    <w:rsid w:val="006E7265"/>
    <w:rsid w:val="006E7D69"/>
    <w:rsid w:val="006F1027"/>
    <w:rsid w:val="006F1540"/>
    <w:rsid w:val="006F156E"/>
    <w:rsid w:val="006F1616"/>
    <w:rsid w:val="006F1C8B"/>
    <w:rsid w:val="006F22DF"/>
    <w:rsid w:val="006F23C7"/>
    <w:rsid w:val="006F2CCE"/>
    <w:rsid w:val="006F3024"/>
    <w:rsid w:val="006F4E3D"/>
    <w:rsid w:val="006F5215"/>
    <w:rsid w:val="006F5263"/>
    <w:rsid w:val="006F561E"/>
    <w:rsid w:val="006F5A28"/>
    <w:rsid w:val="006F6DF5"/>
    <w:rsid w:val="006F79C2"/>
    <w:rsid w:val="0070095B"/>
    <w:rsid w:val="007014C0"/>
    <w:rsid w:val="00701810"/>
    <w:rsid w:val="007025FB"/>
    <w:rsid w:val="00702803"/>
    <w:rsid w:val="0070449A"/>
    <w:rsid w:val="0070499B"/>
    <w:rsid w:val="00704F3C"/>
    <w:rsid w:val="0070666D"/>
    <w:rsid w:val="0070723C"/>
    <w:rsid w:val="007077F8"/>
    <w:rsid w:val="00707EF5"/>
    <w:rsid w:val="0071021F"/>
    <w:rsid w:val="0071180F"/>
    <w:rsid w:val="00711983"/>
    <w:rsid w:val="00712173"/>
    <w:rsid w:val="0071268E"/>
    <w:rsid w:val="00712C22"/>
    <w:rsid w:val="00712D80"/>
    <w:rsid w:val="00713356"/>
    <w:rsid w:val="0071380A"/>
    <w:rsid w:val="00714C7B"/>
    <w:rsid w:val="00714CF8"/>
    <w:rsid w:val="007157FF"/>
    <w:rsid w:val="00715FD8"/>
    <w:rsid w:val="00716FCA"/>
    <w:rsid w:val="0071701D"/>
    <w:rsid w:val="007171CE"/>
    <w:rsid w:val="00717B61"/>
    <w:rsid w:val="00720A5A"/>
    <w:rsid w:val="00720D89"/>
    <w:rsid w:val="00721113"/>
    <w:rsid w:val="00721729"/>
    <w:rsid w:val="00721C74"/>
    <w:rsid w:val="00721EBA"/>
    <w:rsid w:val="0072217D"/>
    <w:rsid w:val="00722EEA"/>
    <w:rsid w:val="00723228"/>
    <w:rsid w:val="00723E2C"/>
    <w:rsid w:val="00724601"/>
    <w:rsid w:val="00724712"/>
    <w:rsid w:val="00724CF1"/>
    <w:rsid w:val="00725D88"/>
    <w:rsid w:val="00725E57"/>
    <w:rsid w:val="007266A3"/>
    <w:rsid w:val="00726BBC"/>
    <w:rsid w:val="00726F8B"/>
    <w:rsid w:val="00727235"/>
    <w:rsid w:val="00727AEF"/>
    <w:rsid w:val="007302DC"/>
    <w:rsid w:val="00731F5F"/>
    <w:rsid w:val="0073272C"/>
    <w:rsid w:val="00732879"/>
    <w:rsid w:val="00732A20"/>
    <w:rsid w:val="00732E5A"/>
    <w:rsid w:val="0073327A"/>
    <w:rsid w:val="00733B33"/>
    <w:rsid w:val="00734282"/>
    <w:rsid w:val="007348F0"/>
    <w:rsid w:val="007354FC"/>
    <w:rsid w:val="0073568D"/>
    <w:rsid w:val="007356F9"/>
    <w:rsid w:val="00735A10"/>
    <w:rsid w:val="00735CF4"/>
    <w:rsid w:val="007360A2"/>
    <w:rsid w:val="0074024F"/>
    <w:rsid w:val="0074059F"/>
    <w:rsid w:val="00740898"/>
    <w:rsid w:val="007409DB"/>
    <w:rsid w:val="00740B99"/>
    <w:rsid w:val="00740BDD"/>
    <w:rsid w:val="00740BE9"/>
    <w:rsid w:val="00741591"/>
    <w:rsid w:val="00741C6F"/>
    <w:rsid w:val="00741CDC"/>
    <w:rsid w:val="00741E32"/>
    <w:rsid w:val="00742BE9"/>
    <w:rsid w:val="00742EAD"/>
    <w:rsid w:val="0074397B"/>
    <w:rsid w:val="00743E74"/>
    <w:rsid w:val="00743F16"/>
    <w:rsid w:val="00744CB7"/>
    <w:rsid w:val="00744F55"/>
    <w:rsid w:val="00745478"/>
    <w:rsid w:val="00746020"/>
    <w:rsid w:val="00746501"/>
    <w:rsid w:val="00746F69"/>
    <w:rsid w:val="0074717E"/>
    <w:rsid w:val="00747654"/>
    <w:rsid w:val="00747A84"/>
    <w:rsid w:val="00747D0C"/>
    <w:rsid w:val="007509D4"/>
    <w:rsid w:val="007510BF"/>
    <w:rsid w:val="00751176"/>
    <w:rsid w:val="007526E9"/>
    <w:rsid w:val="0075292E"/>
    <w:rsid w:val="00753F59"/>
    <w:rsid w:val="007544D8"/>
    <w:rsid w:val="00755865"/>
    <w:rsid w:val="007559EC"/>
    <w:rsid w:val="00756C42"/>
    <w:rsid w:val="0075749D"/>
    <w:rsid w:val="007603E9"/>
    <w:rsid w:val="007605C7"/>
    <w:rsid w:val="007608FF"/>
    <w:rsid w:val="00760CF0"/>
    <w:rsid w:val="007613F4"/>
    <w:rsid w:val="00761510"/>
    <w:rsid w:val="007617FF"/>
    <w:rsid w:val="00761856"/>
    <w:rsid w:val="00761CAA"/>
    <w:rsid w:val="007627BE"/>
    <w:rsid w:val="0076310F"/>
    <w:rsid w:val="00763E0A"/>
    <w:rsid w:val="00763EDD"/>
    <w:rsid w:val="007641E0"/>
    <w:rsid w:val="00765D46"/>
    <w:rsid w:val="00765E7A"/>
    <w:rsid w:val="00766A5C"/>
    <w:rsid w:val="00770558"/>
    <w:rsid w:val="00770D8C"/>
    <w:rsid w:val="00771370"/>
    <w:rsid w:val="00771385"/>
    <w:rsid w:val="0077146D"/>
    <w:rsid w:val="00771E22"/>
    <w:rsid w:val="0077241C"/>
    <w:rsid w:val="007726A2"/>
    <w:rsid w:val="00773246"/>
    <w:rsid w:val="007741BA"/>
    <w:rsid w:val="00774710"/>
    <w:rsid w:val="00774857"/>
    <w:rsid w:val="0077558D"/>
    <w:rsid w:val="007757EE"/>
    <w:rsid w:val="00776482"/>
    <w:rsid w:val="00776DA0"/>
    <w:rsid w:val="0077767D"/>
    <w:rsid w:val="007806E8"/>
    <w:rsid w:val="007807C7"/>
    <w:rsid w:val="007815C2"/>
    <w:rsid w:val="00781E40"/>
    <w:rsid w:val="00781ECB"/>
    <w:rsid w:val="00782788"/>
    <w:rsid w:val="00782EE4"/>
    <w:rsid w:val="00783706"/>
    <w:rsid w:val="00783F9B"/>
    <w:rsid w:val="00784547"/>
    <w:rsid w:val="007845EC"/>
    <w:rsid w:val="0078489B"/>
    <w:rsid w:val="007848FD"/>
    <w:rsid w:val="00784E7D"/>
    <w:rsid w:val="007856C8"/>
    <w:rsid w:val="007858DE"/>
    <w:rsid w:val="0078601B"/>
    <w:rsid w:val="00786A95"/>
    <w:rsid w:val="007870CB"/>
    <w:rsid w:val="00787456"/>
    <w:rsid w:val="007876AF"/>
    <w:rsid w:val="00790373"/>
    <w:rsid w:val="00790649"/>
    <w:rsid w:val="00790D8B"/>
    <w:rsid w:val="0079116B"/>
    <w:rsid w:val="00792598"/>
    <w:rsid w:val="00792BEE"/>
    <w:rsid w:val="00794765"/>
    <w:rsid w:val="0079481C"/>
    <w:rsid w:val="00796394"/>
    <w:rsid w:val="00796E30"/>
    <w:rsid w:val="007970AE"/>
    <w:rsid w:val="00797260"/>
    <w:rsid w:val="007977E9"/>
    <w:rsid w:val="00797DF7"/>
    <w:rsid w:val="007A12FE"/>
    <w:rsid w:val="007A14A2"/>
    <w:rsid w:val="007A1845"/>
    <w:rsid w:val="007A2092"/>
    <w:rsid w:val="007A3044"/>
    <w:rsid w:val="007A3971"/>
    <w:rsid w:val="007A39DE"/>
    <w:rsid w:val="007A4706"/>
    <w:rsid w:val="007A4F26"/>
    <w:rsid w:val="007A4F3F"/>
    <w:rsid w:val="007A5009"/>
    <w:rsid w:val="007A5600"/>
    <w:rsid w:val="007A5D84"/>
    <w:rsid w:val="007A6A34"/>
    <w:rsid w:val="007A7700"/>
    <w:rsid w:val="007A7CDB"/>
    <w:rsid w:val="007A7F5F"/>
    <w:rsid w:val="007B1423"/>
    <w:rsid w:val="007B29AE"/>
    <w:rsid w:val="007B3EBF"/>
    <w:rsid w:val="007B4071"/>
    <w:rsid w:val="007B6C9D"/>
    <w:rsid w:val="007B7349"/>
    <w:rsid w:val="007B759A"/>
    <w:rsid w:val="007B7DC3"/>
    <w:rsid w:val="007C0312"/>
    <w:rsid w:val="007C0963"/>
    <w:rsid w:val="007C16A4"/>
    <w:rsid w:val="007C1A1A"/>
    <w:rsid w:val="007C1A1D"/>
    <w:rsid w:val="007C22B3"/>
    <w:rsid w:val="007C242D"/>
    <w:rsid w:val="007C2CBA"/>
    <w:rsid w:val="007C37A4"/>
    <w:rsid w:val="007C3FFD"/>
    <w:rsid w:val="007C4A41"/>
    <w:rsid w:val="007C4B80"/>
    <w:rsid w:val="007C567E"/>
    <w:rsid w:val="007C56FE"/>
    <w:rsid w:val="007C6A21"/>
    <w:rsid w:val="007C6BB5"/>
    <w:rsid w:val="007C72D7"/>
    <w:rsid w:val="007C77EE"/>
    <w:rsid w:val="007C7993"/>
    <w:rsid w:val="007C7F5D"/>
    <w:rsid w:val="007D165A"/>
    <w:rsid w:val="007D1AA7"/>
    <w:rsid w:val="007D1BDA"/>
    <w:rsid w:val="007D2DB9"/>
    <w:rsid w:val="007D2E4C"/>
    <w:rsid w:val="007D4200"/>
    <w:rsid w:val="007D431D"/>
    <w:rsid w:val="007D4501"/>
    <w:rsid w:val="007D4CEC"/>
    <w:rsid w:val="007D4E47"/>
    <w:rsid w:val="007D54AE"/>
    <w:rsid w:val="007D581A"/>
    <w:rsid w:val="007D5CCD"/>
    <w:rsid w:val="007D61B4"/>
    <w:rsid w:val="007D71EA"/>
    <w:rsid w:val="007E00B2"/>
    <w:rsid w:val="007E0120"/>
    <w:rsid w:val="007E1356"/>
    <w:rsid w:val="007E1872"/>
    <w:rsid w:val="007E2890"/>
    <w:rsid w:val="007E30B3"/>
    <w:rsid w:val="007E3228"/>
    <w:rsid w:val="007E34A2"/>
    <w:rsid w:val="007E3BE7"/>
    <w:rsid w:val="007E3DF7"/>
    <w:rsid w:val="007E3E66"/>
    <w:rsid w:val="007E4C55"/>
    <w:rsid w:val="007E546B"/>
    <w:rsid w:val="007E56DE"/>
    <w:rsid w:val="007E5DD6"/>
    <w:rsid w:val="007E6A2E"/>
    <w:rsid w:val="007E6BC1"/>
    <w:rsid w:val="007F021E"/>
    <w:rsid w:val="007F030C"/>
    <w:rsid w:val="007F058A"/>
    <w:rsid w:val="007F07F6"/>
    <w:rsid w:val="007F0A86"/>
    <w:rsid w:val="007F179E"/>
    <w:rsid w:val="007F17A7"/>
    <w:rsid w:val="007F187B"/>
    <w:rsid w:val="007F1CF5"/>
    <w:rsid w:val="007F2506"/>
    <w:rsid w:val="007F2AD7"/>
    <w:rsid w:val="007F2BE4"/>
    <w:rsid w:val="007F2DD0"/>
    <w:rsid w:val="007F3A49"/>
    <w:rsid w:val="007F4116"/>
    <w:rsid w:val="007F4410"/>
    <w:rsid w:val="007F5869"/>
    <w:rsid w:val="007F59D2"/>
    <w:rsid w:val="007F6369"/>
    <w:rsid w:val="007F7338"/>
    <w:rsid w:val="007F75C3"/>
    <w:rsid w:val="007F7D37"/>
    <w:rsid w:val="007F7F86"/>
    <w:rsid w:val="008005FF"/>
    <w:rsid w:val="00800956"/>
    <w:rsid w:val="00801784"/>
    <w:rsid w:val="0080298B"/>
    <w:rsid w:val="00802FB7"/>
    <w:rsid w:val="00803348"/>
    <w:rsid w:val="008037B1"/>
    <w:rsid w:val="008047F6"/>
    <w:rsid w:val="008051BD"/>
    <w:rsid w:val="008055CC"/>
    <w:rsid w:val="00805EF4"/>
    <w:rsid w:val="008063B5"/>
    <w:rsid w:val="0080679C"/>
    <w:rsid w:val="008070C7"/>
    <w:rsid w:val="00807530"/>
    <w:rsid w:val="008104D7"/>
    <w:rsid w:val="00810958"/>
    <w:rsid w:val="00810BAD"/>
    <w:rsid w:val="0081115E"/>
    <w:rsid w:val="00811651"/>
    <w:rsid w:val="008125F4"/>
    <w:rsid w:val="008137B3"/>
    <w:rsid w:val="00813A5A"/>
    <w:rsid w:val="00813D26"/>
    <w:rsid w:val="00814CA9"/>
    <w:rsid w:val="008151CE"/>
    <w:rsid w:val="00815510"/>
    <w:rsid w:val="00815B63"/>
    <w:rsid w:val="00815D34"/>
    <w:rsid w:val="00816A3C"/>
    <w:rsid w:val="00816B2A"/>
    <w:rsid w:val="00816F2E"/>
    <w:rsid w:val="0081701B"/>
    <w:rsid w:val="00817751"/>
    <w:rsid w:val="0082034A"/>
    <w:rsid w:val="008214B2"/>
    <w:rsid w:val="008218A7"/>
    <w:rsid w:val="00821E91"/>
    <w:rsid w:val="00823167"/>
    <w:rsid w:val="00825CC0"/>
    <w:rsid w:val="00826060"/>
    <w:rsid w:val="00826302"/>
    <w:rsid w:val="00826A7A"/>
    <w:rsid w:val="00826C4D"/>
    <w:rsid w:val="00826D16"/>
    <w:rsid w:val="00826EF0"/>
    <w:rsid w:val="0083008B"/>
    <w:rsid w:val="008304CF"/>
    <w:rsid w:val="00830905"/>
    <w:rsid w:val="00830AB4"/>
    <w:rsid w:val="008311A7"/>
    <w:rsid w:val="00831710"/>
    <w:rsid w:val="00832148"/>
    <w:rsid w:val="00833256"/>
    <w:rsid w:val="00833D63"/>
    <w:rsid w:val="008340FF"/>
    <w:rsid w:val="00834672"/>
    <w:rsid w:val="00835A48"/>
    <w:rsid w:val="008363C0"/>
    <w:rsid w:val="00836F50"/>
    <w:rsid w:val="008372E0"/>
    <w:rsid w:val="008408ED"/>
    <w:rsid w:val="0084093E"/>
    <w:rsid w:val="00841324"/>
    <w:rsid w:val="00841F2E"/>
    <w:rsid w:val="008420AB"/>
    <w:rsid w:val="0084260A"/>
    <w:rsid w:val="00842DDF"/>
    <w:rsid w:val="0084307C"/>
    <w:rsid w:val="008430D0"/>
    <w:rsid w:val="00843A12"/>
    <w:rsid w:val="00844202"/>
    <w:rsid w:val="00844588"/>
    <w:rsid w:val="0084458E"/>
    <w:rsid w:val="00844F16"/>
    <w:rsid w:val="008450BE"/>
    <w:rsid w:val="008451AF"/>
    <w:rsid w:val="0084623C"/>
    <w:rsid w:val="0084653A"/>
    <w:rsid w:val="00846681"/>
    <w:rsid w:val="00847537"/>
    <w:rsid w:val="008478AA"/>
    <w:rsid w:val="00847DE1"/>
    <w:rsid w:val="00850154"/>
    <w:rsid w:val="0085026E"/>
    <w:rsid w:val="00850406"/>
    <w:rsid w:val="0085074A"/>
    <w:rsid w:val="00850A99"/>
    <w:rsid w:val="00850DCC"/>
    <w:rsid w:val="008510AF"/>
    <w:rsid w:val="008510F2"/>
    <w:rsid w:val="00851EF4"/>
    <w:rsid w:val="00852C84"/>
    <w:rsid w:val="00853400"/>
    <w:rsid w:val="00853561"/>
    <w:rsid w:val="0085385C"/>
    <w:rsid w:val="00853B7A"/>
    <w:rsid w:val="00853E51"/>
    <w:rsid w:val="00853E8D"/>
    <w:rsid w:val="008547C9"/>
    <w:rsid w:val="0085560C"/>
    <w:rsid w:val="00856596"/>
    <w:rsid w:val="008567BD"/>
    <w:rsid w:val="0085681F"/>
    <w:rsid w:val="0085685D"/>
    <w:rsid w:val="00856927"/>
    <w:rsid w:val="00856A91"/>
    <w:rsid w:val="00857173"/>
    <w:rsid w:val="00860C80"/>
    <w:rsid w:val="00860DA7"/>
    <w:rsid w:val="00861A71"/>
    <w:rsid w:val="00862CDD"/>
    <w:rsid w:val="00863A81"/>
    <w:rsid w:val="00864099"/>
    <w:rsid w:val="008641DE"/>
    <w:rsid w:val="0086429E"/>
    <w:rsid w:val="00864D78"/>
    <w:rsid w:val="00865B22"/>
    <w:rsid w:val="00865DEE"/>
    <w:rsid w:val="00866A55"/>
    <w:rsid w:val="00867607"/>
    <w:rsid w:val="0086774C"/>
    <w:rsid w:val="00867B89"/>
    <w:rsid w:val="00870DBA"/>
    <w:rsid w:val="0087161E"/>
    <w:rsid w:val="00872857"/>
    <w:rsid w:val="00872904"/>
    <w:rsid w:val="008746FC"/>
    <w:rsid w:val="00874F34"/>
    <w:rsid w:val="00875814"/>
    <w:rsid w:val="00875C84"/>
    <w:rsid w:val="00875C88"/>
    <w:rsid w:val="00876C30"/>
    <w:rsid w:val="0087717B"/>
    <w:rsid w:val="00877627"/>
    <w:rsid w:val="0087787B"/>
    <w:rsid w:val="00877C84"/>
    <w:rsid w:val="00877FA2"/>
    <w:rsid w:val="00880612"/>
    <w:rsid w:val="00880972"/>
    <w:rsid w:val="00880C1E"/>
    <w:rsid w:val="00880D17"/>
    <w:rsid w:val="00881444"/>
    <w:rsid w:val="00881F4C"/>
    <w:rsid w:val="00882292"/>
    <w:rsid w:val="008825EC"/>
    <w:rsid w:val="008826FC"/>
    <w:rsid w:val="00882809"/>
    <w:rsid w:val="00883504"/>
    <w:rsid w:val="00883C94"/>
    <w:rsid w:val="00883E3C"/>
    <w:rsid w:val="0088431D"/>
    <w:rsid w:val="008844C2"/>
    <w:rsid w:val="00884E7A"/>
    <w:rsid w:val="008854F4"/>
    <w:rsid w:val="0088662B"/>
    <w:rsid w:val="008866A0"/>
    <w:rsid w:val="0088671F"/>
    <w:rsid w:val="00886B03"/>
    <w:rsid w:val="00886B3E"/>
    <w:rsid w:val="00887416"/>
    <w:rsid w:val="0089022B"/>
    <w:rsid w:val="00890EAA"/>
    <w:rsid w:val="0089221B"/>
    <w:rsid w:val="00892A1C"/>
    <w:rsid w:val="00892AD3"/>
    <w:rsid w:val="00892D00"/>
    <w:rsid w:val="0089324C"/>
    <w:rsid w:val="008937B8"/>
    <w:rsid w:val="00893B1F"/>
    <w:rsid w:val="008941E7"/>
    <w:rsid w:val="0089455A"/>
    <w:rsid w:val="0089478B"/>
    <w:rsid w:val="008954D1"/>
    <w:rsid w:val="00896533"/>
    <w:rsid w:val="0089671D"/>
    <w:rsid w:val="008A052D"/>
    <w:rsid w:val="008A06FA"/>
    <w:rsid w:val="008A0757"/>
    <w:rsid w:val="008A0A5E"/>
    <w:rsid w:val="008A0D48"/>
    <w:rsid w:val="008A12E7"/>
    <w:rsid w:val="008A12E9"/>
    <w:rsid w:val="008A14C3"/>
    <w:rsid w:val="008A18C4"/>
    <w:rsid w:val="008A1CAF"/>
    <w:rsid w:val="008A1EFC"/>
    <w:rsid w:val="008A3349"/>
    <w:rsid w:val="008A3E1B"/>
    <w:rsid w:val="008A42B9"/>
    <w:rsid w:val="008A47E7"/>
    <w:rsid w:val="008A4E7B"/>
    <w:rsid w:val="008A54F8"/>
    <w:rsid w:val="008A5719"/>
    <w:rsid w:val="008A5CE8"/>
    <w:rsid w:val="008A60D9"/>
    <w:rsid w:val="008A6F06"/>
    <w:rsid w:val="008A7597"/>
    <w:rsid w:val="008A7C49"/>
    <w:rsid w:val="008B02EC"/>
    <w:rsid w:val="008B078B"/>
    <w:rsid w:val="008B0A88"/>
    <w:rsid w:val="008B14B4"/>
    <w:rsid w:val="008B19B7"/>
    <w:rsid w:val="008B1FF0"/>
    <w:rsid w:val="008B2B41"/>
    <w:rsid w:val="008B36F0"/>
    <w:rsid w:val="008B3A2B"/>
    <w:rsid w:val="008B3E2B"/>
    <w:rsid w:val="008B3FE8"/>
    <w:rsid w:val="008B47C4"/>
    <w:rsid w:val="008B49DA"/>
    <w:rsid w:val="008B55DD"/>
    <w:rsid w:val="008B5625"/>
    <w:rsid w:val="008B592A"/>
    <w:rsid w:val="008B62B2"/>
    <w:rsid w:val="008B68AD"/>
    <w:rsid w:val="008B6D00"/>
    <w:rsid w:val="008B7825"/>
    <w:rsid w:val="008B7DDA"/>
    <w:rsid w:val="008C0B95"/>
    <w:rsid w:val="008C0D10"/>
    <w:rsid w:val="008C0F95"/>
    <w:rsid w:val="008C33F9"/>
    <w:rsid w:val="008C3533"/>
    <w:rsid w:val="008C38C1"/>
    <w:rsid w:val="008C3F43"/>
    <w:rsid w:val="008C66DB"/>
    <w:rsid w:val="008C6B54"/>
    <w:rsid w:val="008C6B84"/>
    <w:rsid w:val="008C6D0C"/>
    <w:rsid w:val="008C6F77"/>
    <w:rsid w:val="008D0E01"/>
    <w:rsid w:val="008D0F79"/>
    <w:rsid w:val="008D1391"/>
    <w:rsid w:val="008D14FA"/>
    <w:rsid w:val="008D1F1A"/>
    <w:rsid w:val="008D208B"/>
    <w:rsid w:val="008D2208"/>
    <w:rsid w:val="008D2391"/>
    <w:rsid w:val="008D25EF"/>
    <w:rsid w:val="008D2B3C"/>
    <w:rsid w:val="008D2B9C"/>
    <w:rsid w:val="008D369E"/>
    <w:rsid w:val="008D3E0C"/>
    <w:rsid w:val="008D4971"/>
    <w:rsid w:val="008D4B5F"/>
    <w:rsid w:val="008D53B4"/>
    <w:rsid w:val="008D5661"/>
    <w:rsid w:val="008D5AC0"/>
    <w:rsid w:val="008D5CC4"/>
    <w:rsid w:val="008D74E7"/>
    <w:rsid w:val="008D769D"/>
    <w:rsid w:val="008D7B07"/>
    <w:rsid w:val="008D7C13"/>
    <w:rsid w:val="008D7C9D"/>
    <w:rsid w:val="008E00FF"/>
    <w:rsid w:val="008E1B09"/>
    <w:rsid w:val="008E21E0"/>
    <w:rsid w:val="008E2983"/>
    <w:rsid w:val="008E3D3A"/>
    <w:rsid w:val="008E5D45"/>
    <w:rsid w:val="008E6D07"/>
    <w:rsid w:val="008E7555"/>
    <w:rsid w:val="008E75C8"/>
    <w:rsid w:val="008F0A12"/>
    <w:rsid w:val="008F162A"/>
    <w:rsid w:val="008F1798"/>
    <w:rsid w:val="008F2251"/>
    <w:rsid w:val="008F26FA"/>
    <w:rsid w:val="008F2965"/>
    <w:rsid w:val="008F390B"/>
    <w:rsid w:val="008F441D"/>
    <w:rsid w:val="008F49E4"/>
    <w:rsid w:val="008F5212"/>
    <w:rsid w:val="008F5526"/>
    <w:rsid w:val="008F591E"/>
    <w:rsid w:val="009004E3"/>
    <w:rsid w:val="009017FB"/>
    <w:rsid w:val="00903010"/>
    <w:rsid w:val="009030F1"/>
    <w:rsid w:val="0090345D"/>
    <w:rsid w:val="009034AF"/>
    <w:rsid w:val="009035A7"/>
    <w:rsid w:val="009038A6"/>
    <w:rsid w:val="00904022"/>
    <w:rsid w:val="00904106"/>
    <w:rsid w:val="00904190"/>
    <w:rsid w:val="00904AA3"/>
    <w:rsid w:val="00904FE0"/>
    <w:rsid w:val="00905856"/>
    <w:rsid w:val="00905CA4"/>
    <w:rsid w:val="00906F19"/>
    <w:rsid w:val="00907250"/>
    <w:rsid w:val="00907860"/>
    <w:rsid w:val="009078C7"/>
    <w:rsid w:val="00907A3D"/>
    <w:rsid w:val="00907AB2"/>
    <w:rsid w:val="00907EA2"/>
    <w:rsid w:val="009106B3"/>
    <w:rsid w:val="00910C3C"/>
    <w:rsid w:val="009111BC"/>
    <w:rsid w:val="00911384"/>
    <w:rsid w:val="00911E4E"/>
    <w:rsid w:val="00912D6F"/>
    <w:rsid w:val="00913AC6"/>
    <w:rsid w:val="00913CAE"/>
    <w:rsid w:val="0091417A"/>
    <w:rsid w:val="009141F5"/>
    <w:rsid w:val="00916B41"/>
    <w:rsid w:val="00916C55"/>
    <w:rsid w:val="00917824"/>
    <w:rsid w:val="0092020D"/>
    <w:rsid w:val="00920947"/>
    <w:rsid w:val="00922B16"/>
    <w:rsid w:val="00923CEF"/>
    <w:rsid w:val="00923D81"/>
    <w:rsid w:val="009241D7"/>
    <w:rsid w:val="009241DB"/>
    <w:rsid w:val="009243FD"/>
    <w:rsid w:val="00924591"/>
    <w:rsid w:val="00924D2B"/>
    <w:rsid w:val="00924EC5"/>
    <w:rsid w:val="00924F97"/>
    <w:rsid w:val="0092623E"/>
    <w:rsid w:val="00926731"/>
    <w:rsid w:val="00926C94"/>
    <w:rsid w:val="009274F5"/>
    <w:rsid w:val="00931621"/>
    <w:rsid w:val="009319AB"/>
    <w:rsid w:val="00931AFE"/>
    <w:rsid w:val="00931E08"/>
    <w:rsid w:val="00931FD6"/>
    <w:rsid w:val="00932629"/>
    <w:rsid w:val="00932DEC"/>
    <w:rsid w:val="0093355B"/>
    <w:rsid w:val="009350B4"/>
    <w:rsid w:val="00937429"/>
    <w:rsid w:val="00937D13"/>
    <w:rsid w:val="00937E53"/>
    <w:rsid w:val="00937E90"/>
    <w:rsid w:val="00937ED7"/>
    <w:rsid w:val="00937F57"/>
    <w:rsid w:val="00940557"/>
    <w:rsid w:val="00940637"/>
    <w:rsid w:val="00941230"/>
    <w:rsid w:val="009418D3"/>
    <w:rsid w:val="00941D62"/>
    <w:rsid w:val="00942632"/>
    <w:rsid w:val="009429F0"/>
    <w:rsid w:val="00942C04"/>
    <w:rsid w:val="00942C0A"/>
    <w:rsid w:val="00944E02"/>
    <w:rsid w:val="00945A40"/>
    <w:rsid w:val="00945CC3"/>
    <w:rsid w:val="00945E65"/>
    <w:rsid w:val="00946488"/>
    <w:rsid w:val="009466BA"/>
    <w:rsid w:val="00946717"/>
    <w:rsid w:val="0094696B"/>
    <w:rsid w:val="0095038A"/>
    <w:rsid w:val="009504C4"/>
    <w:rsid w:val="009504CB"/>
    <w:rsid w:val="00950CE5"/>
    <w:rsid w:val="0095110C"/>
    <w:rsid w:val="00951296"/>
    <w:rsid w:val="0095133C"/>
    <w:rsid w:val="00951782"/>
    <w:rsid w:val="00951B2E"/>
    <w:rsid w:val="00952D39"/>
    <w:rsid w:val="00952ECD"/>
    <w:rsid w:val="00952FF1"/>
    <w:rsid w:val="0095324E"/>
    <w:rsid w:val="00953E23"/>
    <w:rsid w:val="009541F9"/>
    <w:rsid w:val="009543F6"/>
    <w:rsid w:val="00954453"/>
    <w:rsid w:val="00955B46"/>
    <w:rsid w:val="00955E38"/>
    <w:rsid w:val="009569D9"/>
    <w:rsid w:val="00956D5A"/>
    <w:rsid w:val="009570B1"/>
    <w:rsid w:val="009600E3"/>
    <w:rsid w:val="00960977"/>
    <w:rsid w:val="0096118D"/>
    <w:rsid w:val="00961355"/>
    <w:rsid w:val="009614ED"/>
    <w:rsid w:val="00961BDD"/>
    <w:rsid w:val="00961CB1"/>
    <w:rsid w:val="00962CFC"/>
    <w:rsid w:val="00962D77"/>
    <w:rsid w:val="0096302E"/>
    <w:rsid w:val="00963150"/>
    <w:rsid w:val="009633D8"/>
    <w:rsid w:val="00963AFD"/>
    <w:rsid w:val="00963B70"/>
    <w:rsid w:val="00963DA3"/>
    <w:rsid w:val="00963F4E"/>
    <w:rsid w:val="00964521"/>
    <w:rsid w:val="00964BC4"/>
    <w:rsid w:val="00964EDE"/>
    <w:rsid w:val="00964F85"/>
    <w:rsid w:val="00965056"/>
    <w:rsid w:val="009652BB"/>
    <w:rsid w:val="00965379"/>
    <w:rsid w:val="00965851"/>
    <w:rsid w:val="00965A24"/>
    <w:rsid w:val="00965F71"/>
    <w:rsid w:val="00966177"/>
    <w:rsid w:val="00966A57"/>
    <w:rsid w:val="009672C6"/>
    <w:rsid w:val="009678C6"/>
    <w:rsid w:val="00967C95"/>
    <w:rsid w:val="0097056F"/>
    <w:rsid w:val="009708D0"/>
    <w:rsid w:val="00972D69"/>
    <w:rsid w:val="00972DFE"/>
    <w:rsid w:val="00973053"/>
    <w:rsid w:val="0097441F"/>
    <w:rsid w:val="00974D84"/>
    <w:rsid w:val="009753C7"/>
    <w:rsid w:val="009755E6"/>
    <w:rsid w:val="00980221"/>
    <w:rsid w:val="00981C9B"/>
    <w:rsid w:val="009826C1"/>
    <w:rsid w:val="00982A2C"/>
    <w:rsid w:val="00982FCE"/>
    <w:rsid w:val="00983D25"/>
    <w:rsid w:val="00985894"/>
    <w:rsid w:val="00985C8A"/>
    <w:rsid w:val="009872ED"/>
    <w:rsid w:val="00987F95"/>
    <w:rsid w:val="00990259"/>
    <w:rsid w:val="009904A0"/>
    <w:rsid w:val="009905D1"/>
    <w:rsid w:val="009906AB"/>
    <w:rsid w:val="009907A5"/>
    <w:rsid w:val="0099164B"/>
    <w:rsid w:val="00992EC1"/>
    <w:rsid w:val="00994272"/>
    <w:rsid w:val="00994A3C"/>
    <w:rsid w:val="00994F70"/>
    <w:rsid w:val="00996FB8"/>
    <w:rsid w:val="0099718B"/>
    <w:rsid w:val="00997848"/>
    <w:rsid w:val="00997F67"/>
    <w:rsid w:val="009A0A6C"/>
    <w:rsid w:val="009A0CF5"/>
    <w:rsid w:val="009A109F"/>
    <w:rsid w:val="009A1679"/>
    <w:rsid w:val="009A1B9A"/>
    <w:rsid w:val="009A20BE"/>
    <w:rsid w:val="009A2FDD"/>
    <w:rsid w:val="009A3245"/>
    <w:rsid w:val="009A3316"/>
    <w:rsid w:val="009A38D6"/>
    <w:rsid w:val="009A3E5D"/>
    <w:rsid w:val="009A490D"/>
    <w:rsid w:val="009A4A60"/>
    <w:rsid w:val="009A5F71"/>
    <w:rsid w:val="009A611C"/>
    <w:rsid w:val="009A6C67"/>
    <w:rsid w:val="009A72A1"/>
    <w:rsid w:val="009A75B9"/>
    <w:rsid w:val="009A7B56"/>
    <w:rsid w:val="009B054A"/>
    <w:rsid w:val="009B15CA"/>
    <w:rsid w:val="009B1C82"/>
    <w:rsid w:val="009B28C9"/>
    <w:rsid w:val="009B3B9C"/>
    <w:rsid w:val="009B3D28"/>
    <w:rsid w:val="009B45DD"/>
    <w:rsid w:val="009B48BF"/>
    <w:rsid w:val="009B4CD3"/>
    <w:rsid w:val="009B5309"/>
    <w:rsid w:val="009B6277"/>
    <w:rsid w:val="009B73FB"/>
    <w:rsid w:val="009B73FF"/>
    <w:rsid w:val="009B740B"/>
    <w:rsid w:val="009B7B7D"/>
    <w:rsid w:val="009C0AF7"/>
    <w:rsid w:val="009C110F"/>
    <w:rsid w:val="009C1695"/>
    <w:rsid w:val="009C1FB8"/>
    <w:rsid w:val="009C292E"/>
    <w:rsid w:val="009C2C96"/>
    <w:rsid w:val="009C412F"/>
    <w:rsid w:val="009C4884"/>
    <w:rsid w:val="009C4ABA"/>
    <w:rsid w:val="009C60E7"/>
    <w:rsid w:val="009C6790"/>
    <w:rsid w:val="009C6BB8"/>
    <w:rsid w:val="009C70E7"/>
    <w:rsid w:val="009C7FC9"/>
    <w:rsid w:val="009D01F0"/>
    <w:rsid w:val="009D03A1"/>
    <w:rsid w:val="009D1DC4"/>
    <w:rsid w:val="009D203A"/>
    <w:rsid w:val="009D22F9"/>
    <w:rsid w:val="009D3098"/>
    <w:rsid w:val="009D3F85"/>
    <w:rsid w:val="009D45D1"/>
    <w:rsid w:val="009D49DA"/>
    <w:rsid w:val="009D4DCF"/>
    <w:rsid w:val="009D5D92"/>
    <w:rsid w:val="009D6D3F"/>
    <w:rsid w:val="009D7563"/>
    <w:rsid w:val="009D7BD5"/>
    <w:rsid w:val="009E11C6"/>
    <w:rsid w:val="009E1973"/>
    <w:rsid w:val="009E1CC7"/>
    <w:rsid w:val="009E2E79"/>
    <w:rsid w:val="009E32D0"/>
    <w:rsid w:val="009E5362"/>
    <w:rsid w:val="009E57A8"/>
    <w:rsid w:val="009E5A7E"/>
    <w:rsid w:val="009E688B"/>
    <w:rsid w:val="009E68E4"/>
    <w:rsid w:val="009E7617"/>
    <w:rsid w:val="009E770D"/>
    <w:rsid w:val="009F093F"/>
    <w:rsid w:val="009F1419"/>
    <w:rsid w:val="009F1D66"/>
    <w:rsid w:val="009F28F5"/>
    <w:rsid w:val="009F3941"/>
    <w:rsid w:val="009F44C6"/>
    <w:rsid w:val="009F4932"/>
    <w:rsid w:val="009F5292"/>
    <w:rsid w:val="009F6A18"/>
    <w:rsid w:val="009F6B68"/>
    <w:rsid w:val="009F711D"/>
    <w:rsid w:val="00A00E25"/>
    <w:rsid w:val="00A02673"/>
    <w:rsid w:val="00A02A26"/>
    <w:rsid w:val="00A045E2"/>
    <w:rsid w:val="00A05417"/>
    <w:rsid w:val="00A0580F"/>
    <w:rsid w:val="00A05F23"/>
    <w:rsid w:val="00A06732"/>
    <w:rsid w:val="00A068E0"/>
    <w:rsid w:val="00A06BDA"/>
    <w:rsid w:val="00A078A7"/>
    <w:rsid w:val="00A07F62"/>
    <w:rsid w:val="00A11FA6"/>
    <w:rsid w:val="00A12C80"/>
    <w:rsid w:val="00A12FE5"/>
    <w:rsid w:val="00A13D5F"/>
    <w:rsid w:val="00A14DC9"/>
    <w:rsid w:val="00A15445"/>
    <w:rsid w:val="00A156D6"/>
    <w:rsid w:val="00A15A0A"/>
    <w:rsid w:val="00A15A51"/>
    <w:rsid w:val="00A160F9"/>
    <w:rsid w:val="00A161C8"/>
    <w:rsid w:val="00A162DC"/>
    <w:rsid w:val="00A1634C"/>
    <w:rsid w:val="00A165D4"/>
    <w:rsid w:val="00A16FD5"/>
    <w:rsid w:val="00A20650"/>
    <w:rsid w:val="00A2067F"/>
    <w:rsid w:val="00A212CF"/>
    <w:rsid w:val="00A224C7"/>
    <w:rsid w:val="00A22A6B"/>
    <w:rsid w:val="00A22D9A"/>
    <w:rsid w:val="00A23869"/>
    <w:rsid w:val="00A239A0"/>
    <w:rsid w:val="00A23B67"/>
    <w:rsid w:val="00A23BAD"/>
    <w:rsid w:val="00A23BD4"/>
    <w:rsid w:val="00A2483C"/>
    <w:rsid w:val="00A25301"/>
    <w:rsid w:val="00A257F2"/>
    <w:rsid w:val="00A25A41"/>
    <w:rsid w:val="00A25AF5"/>
    <w:rsid w:val="00A25F1E"/>
    <w:rsid w:val="00A262BD"/>
    <w:rsid w:val="00A26D3E"/>
    <w:rsid w:val="00A3063E"/>
    <w:rsid w:val="00A31295"/>
    <w:rsid w:val="00A319A8"/>
    <w:rsid w:val="00A319FC"/>
    <w:rsid w:val="00A31A36"/>
    <w:rsid w:val="00A31E2F"/>
    <w:rsid w:val="00A31E89"/>
    <w:rsid w:val="00A324F7"/>
    <w:rsid w:val="00A3379F"/>
    <w:rsid w:val="00A33966"/>
    <w:rsid w:val="00A33DE7"/>
    <w:rsid w:val="00A34001"/>
    <w:rsid w:val="00A34231"/>
    <w:rsid w:val="00A34D6C"/>
    <w:rsid w:val="00A34E2B"/>
    <w:rsid w:val="00A352DA"/>
    <w:rsid w:val="00A35320"/>
    <w:rsid w:val="00A35770"/>
    <w:rsid w:val="00A35D98"/>
    <w:rsid w:val="00A360E3"/>
    <w:rsid w:val="00A3641A"/>
    <w:rsid w:val="00A3649C"/>
    <w:rsid w:val="00A3650A"/>
    <w:rsid w:val="00A36D2A"/>
    <w:rsid w:val="00A4012B"/>
    <w:rsid w:val="00A41BA1"/>
    <w:rsid w:val="00A41EF0"/>
    <w:rsid w:val="00A4204A"/>
    <w:rsid w:val="00A4218C"/>
    <w:rsid w:val="00A4297C"/>
    <w:rsid w:val="00A434B3"/>
    <w:rsid w:val="00A43970"/>
    <w:rsid w:val="00A44EFA"/>
    <w:rsid w:val="00A46B8B"/>
    <w:rsid w:val="00A470DF"/>
    <w:rsid w:val="00A4719E"/>
    <w:rsid w:val="00A472A9"/>
    <w:rsid w:val="00A4787F"/>
    <w:rsid w:val="00A5153A"/>
    <w:rsid w:val="00A51953"/>
    <w:rsid w:val="00A51C5E"/>
    <w:rsid w:val="00A5292E"/>
    <w:rsid w:val="00A5495A"/>
    <w:rsid w:val="00A54A8B"/>
    <w:rsid w:val="00A54FCB"/>
    <w:rsid w:val="00A5547E"/>
    <w:rsid w:val="00A55672"/>
    <w:rsid w:val="00A5677F"/>
    <w:rsid w:val="00A5796D"/>
    <w:rsid w:val="00A57E7A"/>
    <w:rsid w:val="00A604CC"/>
    <w:rsid w:val="00A60948"/>
    <w:rsid w:val="00A62704"/>
    <w:rsid w:val="00A6456C"/>
    <w:rsid w:val="00A662B6"/>
    <w:rsid w:val="00A6734B"/>
    <w:rsid w:val="00A70BFB"/>
    <w:rsid w:val="00A718C5"/>
    <w:rsid w:val="00A71912"/>
    <w:rsid w:val="00A72105"/>
    <w:rsid w:val="00A726A3"/>
    <w:rsid w:val="00A73560"/>
    <w:rsid w:val="00A73715"/>
    <w:rsid w:val="00A737FA"/>
    <w:rsid w:val="00A743D2"/>
    <w:rsid w:val="00A74543"/>
    <w:rsid w:val="00A750AD"/>
    <w:rsid w:val="00A7576F"/>
    <w:rsid w:val="00A75A64"/>
    <w:rsid w:val="00A75FED"/>
    <w:rsid w:val="00A76266"/>
    <w:rsid w:val="00A769F0"/>
    <w:rsid w:val="00A76AAD"/>
    <w:rsid w:val="00A77034"/>
    <w:rsid w:val="00A7730E"/>
    <w:rsid w:val="00A77562"/>
    <w:rsid w:val="00A77EEC"/>
    <w:rsid w:val="00A817E1"/>
    <w:rsid w:val="00A84B14"/>
    <w:rsid w:val="00A84D52"/>
    <w:rsid w:val="00A85CA4"/>
    <w:rsid w:val="00A861FB"/>
    <w:rsid w:val="00A876EB"/>
    <w:rsid w:val="00A87985"/>
    <w:rsid w:val="00A87A99"/>
    <w:rsid w:val="00A87E6E"/>
    <w:rsid w:val="00A9061F"/>
    <w:rsid w:val="00A90A08"/>
    <w:rsid w:val="00A90E13"/>
    <w:rsid w:val="00A91027"/>
    <w:rsid w:val="00A914E4"/>
    <w:rsid w:val="00A91D61"/>
    <w:rsid w:val="00A92856"/>
    <w:rsid w:val="00A9299A"/>
    <w:rsid w:val="00A92E0B"/>
    <w:rsid w:val="00A936F3"/>
    <w:rsid w:val="00A9375D"/>
    <w:rsid w:val="00A93A9B"/>
    <w:rsid w:val="00A93AA2"/>
    <w:rsid w:val="00A93ADC"/>
    <w:rsid w:val="00A93EE8"/>
    <w:rsid w:val="00A943D2"/>
    <w:rsid w:val="00A955C3"/>
    <w:rsid w:val="00A95DEB"/>
    <w:rsid w:val="00A97674"/>
    <w:rsid w:val="00A976AB"/>
    <w:rsid w:val="00A978C0"/>
    <w:rsid w:val="00A97C09"/>
    <w:rsid w:val="00AA1560"/>
    <w:rsid w:val="00AA1850"/>
    <w:rsid w:val="00AA1864"/>
    <w:rsid w:val="00AA18C7"/>
    <w:rsid w:val="00AA2471"/>
    <w:rsid w:val="00AA38AF"/>
    <w:rsid w:val="00AA41D9"/>
    <w:rsid w:val="00AA45A6"/>
    <w:rsid w:val="00AA56BA"/>
    <w:rsid w:val="00AA6249"/>
    <w:rsid w:val="00AA67A3"/>
    <w:rsid w:val="00AA6BC2"/>
    <w:rsid w:val="00AA7B16"/>
    <w:rsid w:val="00AB09A2"/>
    <w:rsid w:val="00AB2B91"/>
    <w:rsid w:val="00AB3CA5"/>
    <w:rsid w:val="00AB5200"/>
    <w:rsid w:val="00AB556F"/>
    <w:rsid w:val="00AB6041"/>
    <w:rsid w:val="00AB64E3"/>
    <w:rsid w:val="00AB663E"/>
    <w:rsid w:val="00AB673C"/>
    <w:rsid w:val="00AB6B04"/>
    <w:rsid w:val="00AB7360"/>
    <w:rsid w:val="00AB73BE"/>
    <w:rsid w:val="00AB7734"/>
    <w:rsid w:val="00AB7EB2"/>
    <w:rsid w:val="00AC184B"/>
    <w:rsid w:val="00AC2290"/>
    <w:rsid w:val="00AC2355"/>
    <w:rsid w:val="00AC2E63"/>
    <w:rsid w:val="00AC3068"/>
    <w:rsid w:val="00AC33F3"/>
    <w:rsid w:val="00AC34CF"/>
    <w:rsid w:val="00AC476F"/>
    <w:rsid w:val="00AC4DC2"/>
    <w:rsid w:val="00AC53CA"/>
    <w:rsid w:val="00AC6DDB"/>
    <w:rsid w:val="00AC704A"/>
    <w:rsid w:val="00AC7F51"/>
    <w:rsid w:val="00AD1D0B"/>
    <w:rsid w:val="00AD1D6C"/>
    <w:rsid w:val="00AD1F07"/>
    <w:rsid w:val="00AD36B8"/>
    <w:rsid w:val="00AD3E71"/>
    <w:rsid w:val="00AD3F1F"/>
    <w:rsid w:val="00AD4626"/>
    <w:rsid w:val="00AD4B5A"/>
    <w:rsid w:val="00AD6014"/>
    <w:rsid w:val="00AD6405"/>
    <w:rsid w:val="00AD6C68"/>
    <w:rsid w:val="00AD6DE0"/>
    <w:rsid w:val="00AE06F8"/>
    <w:rsid w:val="00AE0A31"/>
    <w:rsid w:val="00AE10EC"/>
    <w:rsid w:val="00AE123F"/>
    <w:rsid w:val="00AE1DA1"/>
    <w:rsid w:val="00AE215A"/>
    <w:rsid w:val="00AE303B"/>
    <w:rsid w:val="00AE3B8D"/>
    <w:rsid w:val="00AE429B"/>
    <w:rsid w:val="00AE4309"/>
    <w:rsid w:val="00AE4454"/>
    <w:rsid w:val="00AE57CF"/>
    <w:rsid w:val="00AE6357"/>
    <w:rsid w:val="00AE6CA3"/>
    <w:rsid w:val="00AE7401"/>
    <w:rsid w:val="00AE79FA"/>
    <w:rsid w:val="00AE7D03"/>
    <w:rsid w:val="00AE7EC2"/>
    <w:rsid w:val="00AF0E51"/>
    <w:rsid w:val="00AF10C3"/>
    <w:rsid w:val="00AF1631"/>
    <w:rsid w:val="00AF254A"/>
    <w:rsid w:val="00AF3B98"/>
    <w:rsid w:val="00AF3EEE"/>
    <w:rsid w:val="00AF41C0"/>
    <w:rsid w:val="00AF4273"/>
    <w:rsid w:val="00AF4556"/>
    <w:rsid w:val="00AF497B"/>
    <w:rsid w:val="00AF67CB"/>
    <w:rsid w:val="00AF6E57"/>
    <w:rsid w:val="00AF6E87"/>
    <w:rsid w:val="00AF746D"/>
    <w:rsid w:val="00AF7BD7"/>
    <w:rsid w:val="00B000B4"/>
    <w:rsid w:val="00B01224"/>
    <w:rsid w:val="00B013E4"/>
    <w:rsid w:val="00B01458"/>
    <w:rsid w:val="00B01891"/>
    <w:rsid w:val="00B025F6"/>
    <w:rsid w:val="00B0264C"/>
    <w:rsid w:val="00B037D6"/>
    <w:rsid w:val="00B0619B"/>
    <w:rsid w:val="00B066FB"/>
    <w:rsid w:val="00B0731E"/>
    <w:rsid w:val="00B07927"/>
    <w:rsid w:val="00B1008A"/>
    <w:rsid w:val="00B100FE"/>
    <w:rsid w:val="00B10902"/>
    <w:rsid w:val="00B10CC9"/>
    <w:rsid w:val="00B10CED"/>
    <w:rsid w:val="00B12649"/>
    <w:rsid w:val="00B13611"/>
    <w:rsid w:val="00B13650"/>
    <w:rsid w:val="00B13D1F"/>
    <w:rsid w:val="00B145F4"/>
    <w:rsid w:val="00B14753"/>
    <w:rsid w:val="00B15C45"/>
    <w:rsid w:val="00B16532"/>
    <w:rsid w:val="00B1698E"/>
    <w:rsid w:val="00B17520"/>
    <w:rsid w:val="00B203A9"/>
    <w:rsid w:val="00B203E6"/>
    <w:rsid w:val="00B20906"/>
    <w:rsid w:val="00B2120C"/>
    <w:rsid w:val="00B22B21"/>
    <w:rsid w:val="00B230CC"/>
    <w:rsid w:val="00B2333B"/>
    <w:rsid w:val="00B24411"/>
    <w:rsid w:val="00B2483A"/>
    <w:rsid w:val="00B24A20"/>
    <w:rsid w:val="00B24D85"/>
    <w:rsid w:val="00B24EB9"/>
    <w:rsid w:val="00B25504"/>
    <w:rsid w:val="00B25831"/>
    <w:rsid w:val="00B262F1"/>
    <w:rsid w:val="00B26A03"/>
    <w:rsid w:val="00B26AE8"/>
    <w:rsid w:val="00B26CE8"/>
    <w:rsid w:val="00B26DD4"/>
    <w:rsid w:val="00B30B1B"/>
    <w:rsid w:val="00B314F2"/>
    <w:rsid w:val="00B31CAB"/>
    <w:rsid w:val="00B31D91"/>
    <w:rsid w:val="00B320C1"/>
    <w:rsid w:val="00B32211"/>
    <w:rsid w:val="00B32283"/>
    <w:rsid w:val="00B3265E"/>
    <w:rsid w:val="00B33741"/>
    <w:rsid w:val="00B34203"/>
    <w:rsid w:val="00B34BFF"/>
    <w:rsid w:val="00B34FA8"/>
    <w:rsid w:val="00B3556A"/>
    <w:rsid w:val="00B356E4"/>
    <w:rsid w:val="00B35DDC"/>
    <w:rsid w:val="00B35F09"/>
    <w:rsid w:val="00B36A23"/>
    <w:rsid w:val="00B36ADC"/>
    <w:rsid w:val="00B36AEE"/>
    <w:rsid w:val="00B36EF5"/>
    <w:rsid w:val="00B37395"/>
    <w:rsid w:val="00B378A6"/>
    <w:rsid w:val="00B37B4A"/>
    <w:rsid w:val="00B40F25"/>
    <w:rsid w:val="00B41717"/>
    <w:rsid w:val="00B42121"/>
    <w:rsid w:val="00B42563"/>
    <w:rsid w:val="00B426D1"/>
    <w:rsid w:val="00B44D99"/>
    <w:rsid w:val="00B472AD"/>
    <w:rsid w:val="00B511FC"/>
    <w:rsid w:val="00B52224"/>
    <w:rsid w:val="00B5288C"/>
    <w:rsid w:val="00B5308B"/>
    <w:rsid w:val="00B539EB"/>
    <w:rsid w:val="00B54099"/>
    <w:rsid w:val="00B54316"/>
    <w:rsid w:val="00B54674"/>
    <w:rsid w:val="00B55A2C"/>
    <w:rsid w:val="00B5663A"/>
    <w:rsid w:val="00B60EFE"/>
    <w:rsid w:val="00B61BB7"/>
    <w:rsid w:val="00B628FB"/>
    <w:rsid w:val="00B630F8"/>
    <w:rsid w:val="00B635ED"/>
    <w:rsid w:val="00B64419"/>
    <w:rsid w:val="00B64A73"/>
    <w:rsid w:val="00B6619A"/>
    <w:rsid w:val="00B661C4"/>
    <w:rsid w:val="00B662E9"/>
    <w:rsid w:val="00B6704D"/>
    <w:rsid w:val="00B70B17"/>
    <w:rsid w:val="00B70EA7"/>
    <w:rsid w:val="00B715C4"/>
    <w:rsid w:val="00B71A45"/>
    <w:rsid w:val="00B71B29"/>
    <w:rsid w:val="00B725CD"/>
    <w:rsid w:val="00B729CC"/>
    <w:rsid w:val="00B73996"/>
    <w:rsid w:val="00B74AC8"/>
    <w:rsid w:val="00B74EFA"/>
    <w:rsid w:val="00B750B4"/>
    <w:rsid w:val="00B758D9"/>
    <w:rsid w:val="00B76673"/>
    <w:rsid w:val="00B76748"/>
    <w:rsid w:val="00B772C9"/>
    <w:rsid w:val="00B77622"/>
    <w:rsid w:val="00B801F7"/>
    <w:rsid w:val="00B802D1"/>
    <w:rsid w:val="00B809D4"/>
    <w:rsid w:val="00B814DF"/>
    <w:rsid w:val="00B81590"/>
    <w:rsid w:val="00B81A95"/>
    <w:rsid w:val="00B81F19"/>
    <w:rsid w:val="00B81FFA"/>
    <w:rsid w:val="00B825F4"/>
    <w:rsid w:val="00B826BC"/>
    <w:rsid w:val="00B82E58"/>
    <w:rsid w:val="00B83B46"/>
    <w:rsid w:val="00B83F2D"/>
    <w:rsid w:val="00B8431F"/>
    <w:rsid w:val="00B84A5B"/>
    <w:rsid w:val="00B85281"/>
    <w:rsid w:val="00B85C02"/>
    <w:rsid w:val="00B85D26"/>
    <w:rsid w:val="00B86432"/>
    <w:rsid w:val="00B8692C"/>
    <w:rsid w:val="00B871DF"/>
    <w:rsid w:val="00B873F9"/>
    <w:rsid w:val="00B87C7C"/>
    <w:rsid w:val="00B90058"/>
    <w:rsid w:val="00B90837"/>
    <w:rsid w:val="00B908DC"/>
    <w:rsid w:val="00B90CF1"/>
    <w:rsid w:val="00B90D25"/>
    <w:rsid w:val="00B91065"/>
    <w:rsid w:val="00B91589"/>
    <w:rsid w:val="00B92933"/>
    <w:rsid w:val="00B93D33"/>
    <w:rsid w:val="00B93E7E"/>
    <w:rsid w:val="00B942B4"/>
    <w:rsid w:val="00B948E7"/>
    <w:rsid w:val="00B94A17"/>
    <w:rsid w:val="00B94D7E"/>
    <w:rsid w:val="00B9530E"/>
    <w:rsid w:val="00B95326"/>
    <w:rsid w:val="00B9563C"/>
    <w:rsid w:val="00B95F1C"/>
    <w:rsid w:val="00B9673F"/>
    <w:rsid w:val="00B9689A"/>
    <w:rsid w:val="00B9794B"/>
    <w:rsid w:val="00B97BF8"/>
    <w:rsid w:val="00B97D5B"/>
    <w:rsid w:val="00BA066D"/>
    <w:rsid w:val="00BA0952"/>
    <w:rsid w:val="00BA3A7C"/>
    <w:rsid w:val="00BA4407"/>
    <w:rsid w:val="00BA4668"/>
    <w:rsid w:val="00BA48FC"/>
    <w:rsid w:val="00BA50D9"/>
    <w:rsid w:val="00BA521A"/>
    <w:rsid w:val="00BA5E56"/>
    <w:rsid w:val="00BA68A3"/>
    <w:rsid w:val="00BA69F2"/>
    <w:rsid w:val="00BA6E58"/>
    <w:rsid w:val="00BA78E1"/>
    <w:rsid w:val="00BA7C08"/>
    <w:rsid w:val="00BB0496"/>
    <w:rsid w:val="00BB0EDE"/>
    <w:rsid w:val="00BB1A48"/>
    <w:rsid w:val="00BB2935"/>
    <w:rsid w:val="00BB2E07"/>
    <w:rsid w:val="00BB35AB"/>
    <w:rsid w:val="00BB3678"/>
    <w:rsid w:val="00BB3ACA"/>
    <w:rsid w:val="00BB409B"/>
    <w:rsid w:val="00BB57C3"/>
    <w:rsid w:val="00BB5FCC"/>
    <w:rsid w:val="00BB639D"/>
    <w:rsid w:val="00BB664D"/>
    <w:rsid w:val="00BB6BEB"/>
    <w:rsid w:val="00BB70C0"/>
    <w:rsid w:val="00BC02EC"/>
    <w:rsid w:val="00BC12FC"/>
    <w:rsid w:val="00BC1D37"/>
    <w:rsid w:val="00BC2AA0"/>
    <w:rsid w:val="00BC2E44"/>
    <w:rsid w:val="00BC32C8"/>
    <w:rsid w:val="00BC3390"/>
    <w:rsid w:val="00BC3E24"/>
    <w:rsid w:val="00BC3E9E"/>
    <w:rsid w:val="00BC4127"/>
    <w:rsid w:val="00BC42EB"/>
    <w:rsid w:val="00BC49CB"/>
    <w:rsid w:val="00BC5F74"/>
    <w:rsid w:val="00BC6C79"/>
    <w:rsid w:val="00BC7236"/>
    <w:rsid w:val="00BC772B"/>
    <w:rsid w:val="00BC7F37"/>
    <w:rsid w:val="00BD009D"/>
    <w:rsid w:val="00BD0177"/>
    <w:rsid w:val="00BD1931"/>
    <w:rsid w:val="00BD2A53"/>
    <w:rsid w:val="00BD31FE"/>
    <w:rsid w:val="00BD32FB"/>
    <w:rsid w:val="00BD3797"/>
    <w:rsid w:val="00BD3A52"/>
    <w:rsid w:val="00BD3E9A"/>
    <w:rsid w:val="00BD41E3"/>
    <w:rsid w:val="00BD42EE"/>
    <w:rsid w:val="00BD5266"/>
    <w:rsid w:val="00BD563B"/>
    <w:rsid w:val="00BD71E6"/>
    <w:rsid w:val="00BE357F"/>
    <w:rsid w:val="00BE4026"/>
    <w:rsid w:val="00BE404B"/>
    <w:rsid w:val="00BE44CE"/>
    <w:rsid w:val="00BE5442"/>
    <w:rsid w:val="00BE58F9"/>
    <w:rsid w:val="00BE5963"/>
    <w:rsid w:val="00BE5F50"/>
    <w:rsid w:val="00BE6D2E"/>
    <w:rsid w:val="00BF003E"/>
    <w:rsid w:val="00BF0917"/>
    <w:rsid w:val="00BF26CB"/>
    <w:rsid w:val="00BF2837"/>
    <w:rsid w:val="00BF2B8B"/>
    <w:rsid w:val="00BF328F"/>
    <w:rsid w:val="00BF3D73"/>
    <w:rsid w:val="00BF3F37"/>
    <w:rsid w:val="00BF4496"/>
    <w:rsid w:val="00BF4AAC"/>
    <w:rsid w:val="00BF5945"/>
    <w:rsid w:val="00BF67B5"/>
    <w:rsid w:val="00BF7342"/>
    <w:rsid w:val="00BF787B"/>
    <w:rsid w:val="00BF7B8D"/>
    <w:rsid w:val="00C008A2"/>
    <w:rsid w:val="00C008F5"/>
    <w:rsid w:val="00C023DB"/>
    <w:rsid w:val="00C02DAD"/>
    <w:rsid w:val="00C02F32"/>
    <w:rsid w:val="00C0318D"/>
    <w:rsid w:val="00C0323C"/>
    <w:rsid w:val="00C0345A"/>
    <w:rsid w:val="00C043AD"/>
    <w:rsid w:val="00C04F1A"/>
    <w:rsid w:val="00C0539E"/>
    <w:rsid w:val="00C06643"/>
    <w:rsid w:val="00C06F17"/>
    <w:rsid w:val="00C07106"/>
    <w:rsid w:val="00C071BD"/>
    <w:rsid w:val="00C0779F"/>
    <w:rsid w:val="00C07C4C"/>
    <w:rsid w:val="00C103F1"/>
    <w:rsid w:val="00C106B7"/>
    <w:rsid w:val="00C10BE2"/>
    <w:rsid w:val="00C122A8"/>
    <w:rsid w:val="00C12799"/>
    <w:rsid w:val="00C12981"/>
    <w:rsid w:val="00C12F44"/>
    <w:rsid w:val="00C13139"/>
    <w:rsid w:val="00C132BC"/>
    <w:rsid w:val="00C13995"/>
    <w:rsid w:val="00C14578"/>
    <w:rsid w:val="00C14FDD"/>
    <w:rsid w:val="00C1529A"/>
    <w:rsid w:val="00C16261"/>
    <w:rsid w:val="00C16CDA"/>
    <w:rsid w:val="00C176F1"/>
    <w:rsid w:val="00C17814"/>
    <w:rsid w:val="00C20D31"/>
    <w:rsid w:val="00C212AF"/>
    <w:rsid w:val="00C21E36"/>
    <w:rsid w:val="00C22373"/>
    <w:rsid w:val="00C22EE4"/>
    <w:rsid w:val="00C23C4B"/>
    <w:rsid w:val="00C24781"/>
    <w:rsid w:val="00C248A1"/>
    <w:rsid w:val="00C2661B"/>
    <w:rsid w:val="00C26B07"/>
    <w:rsid w:val="00C26C67"/>
    <w:rsid w:val="00C27286"/>
    <w:rsid w:val="00C303B8"/>
    <w:rsid w:val="00C3066A"/>
    <w:rsid w:val="00C31329"/>
    <w:rsid w:val="00C31A56"/>
    <w:rsid w:val="00C32114"/>
    <w:rsid w:val="00C32148"/>
    <w:rsid w:val="00C33324"/>
    <w:rsid w:val="00C33541"/>
    <w:rsid w:val="00C34234"/>
    <w:rsid w:val="00C3489E"/>
    <w:rsid w:val="00C349E1"/>
    <w:rsid w:val="00C35151"/>
    <w:rsid w:val="00C35979"/>
    <w:rsid w:val="00C359AA"/>
    <w:rsid w:val="00C3650C"/>
    <w:rsid w:val="00C36761"/>
    <w:rsid w:val="00C37060"/>
    <w:rsid w:val="00C37697"/>
    <w:rsid w:val="00C376C2"/>
    <w:rsid w:val="00C37BE7"/>
    <w:rsid w:val="00C37EA0"/>
    <w:rsid w:val="00C404F5"/>
    <w:rsid w:val="00C40B12"/>
    <w:rsid w:val="00C40E78"/>
    <w:rsid w:val="00C412D0"/>
    <w:rsid w:val="00C4146C"/>
    <w:rsid w:val="00C41A76"/>
    <w:rsid w:val="00C41B54"/>
    <w:rsid w:val="00C42A71"/>
    <w:rsid w:val="00C43003"/>
    <w:rsid w:val="00C433ED"/>
    <w:rsid w:val="00C43C58"/>
    <w:rsid w:val="00C448CC"/>
    <w:rsid w:val="00C45A34"/>
    <w:rsid w:val="00C45F3A"/>
    <w:rsid w:val="00C46761"/>
    <w:rsid w:val="00C4678F"/>
    <w:rsid w:val="00C47385"/>
    <w:rsid w:val="00C47970"/>
    <w:rsid w:val="00C47ECE"/>
    <w:rsid w:val="00C50B5E"/>
    <w:rsid w:val="00C51323"/>
    <w:rsid w:val="00C51596"/>
    <w:rsid w:val="00C51C16"/>
    <w:rsid w:val="00C51E96"/>
    <w:rsid w:val="00C520D0"/>
    <w:rsid w:val="00C5212E"/>
    <w:rsid w:val="00C52158"/>
    <w:rsid w:val="00C52D9C"/>
    <w:rsid w:val="00C54277"/>
    <w:rsid w:val="00C54636"/>
    <w:rsid w:val="00C54638"/>
    <w:rsid w:val="00C54A02"/>
    <w:rsid w:val="00C54ED1"/>
    <w:rsid w:val="00C55B5A"/>
    <w:rsid w:val="00C560F9"/>
    <w:rsid w:val="00C56F58"/>
    <w:rsid w:val="00C5703C"/>
    <w:rsid w:val="00C574A1"/>
    <w:rsid w:val="00C57DCE"/>
    <w:rsid w:val="00C60A1E"/>
    <w:rsid w:val="00C61E7D"/>
    <w:rsid w:val="00C6228E"/>
    <w:rsid w:val="00C6245D"/>
    <w:rsid w:val="00C63E31"/>
    <w:rsid w:val="00C63FA8"/>
    <w:rsid w:val="00C64188"/>
    <w:rsid w:val="00C6448A"/>
    <w:rsid w:val="00C6468A"/>
    <w:rsid w:val="00C64F68"/>
    <w:rsid w:val="00C65B73"/>
    <w:rsid w:val="00C665B0"/>
    <w:rsid w:val="00C66E09"/>
    <w:rsid w:val="00C672AD"/>
    <w:rsid w:val="00C67515"/>
    <w:rsid w:val="00C67F86"/>
    <w:rsid w:val="00C67FD7"/>
    <w:rsid w:val="00C70230"/>
    <w:rsid w:val="00C7029B"/>
    <w:rsid w:val="00C70323"/>
    <w:rsid w:val="00C70B8D"/>
    <w:rsid w:val="00C7215B"/>
    <w:rsid w:val="00C728BE"/>
    <w:rsid w:val="00C73129"/>
    <w:rsid w:val="00C73FB7"/>
    <w:rsid w:val="00C74184"/>
    <w:rsid w:val="00C74510"/>
    <w:rsid w:val="00C7456E"/>
    <w:rsid w:val="00C74606"/>
    <w:rsid w:val="00C75267"/>
    <w:rsid w:val="00C75A45"/>
    <w:rsid w:val="00C761C8"/>
    <w:rsid w:val="00C7635B"/>
    <w:rsid w:val="00C76EF5"/>
    <w:rsid w:val="00C774DA"/>
    <w:rsid w:val="00C804FD"/>
    <w:rsid w:val="00C80544"/>
    <w:rsid w:val="00C814EE"/>
    <w:rsid w:val="00C817C8"/>
    <w:rsid w:val="00C8253C"/>
    <w:rsid w:val="00C825A5"/>
    <w:rsid w:val="00C82763"/>
    <w:rsid w:val="00C829AC"/>
    <w:rsid w:val="00C82C84"/>
    <w:rsid w:val="00C846EF"/>
    <w:rsid w:val="00C8531C"/>
    <w:rsid w:val="00C85E70"/>
    <w:rsid w:val="00C85FC4"/>
    <w:rsid w:val="00C86877"/>
    <w:rsid w:val="00C86B2D"/>
    <w:rsid w:val="00C9009C"/>
    <w:rsid w:val="00C901D5"/>
    <w:rsid w:val="00C9063E"/>
    <w:rsid w:val="00C9072B"/>
    <w:rsid w:val="00C90C39"/>
    <w:rsid w:val="00C91976"/>
    <w:rsid w:val="00C91A6B"/>
    <w:rsid w:val="00C91CC7"/>
    <w:rsid w:val="00C91F66"/>
    <w:rsid w:val="00C920E9"/>
    <w:rsid w:val="00C92266"/>
    <w:rsid w:val="00C92B5E"/>
    <w:rsid w:val="00C9322F"/>
    <w:rsid w:val="00C93257"/>
    <w:rsid w:val="00C94B7F"/>
    <w:rsid w:val="00C95853"/>
    <w:rsid w:val="00C95911"/>
    <w:rsid w:val="00C95F35"/>
    <w:rsid w:val="00C9612B"/>
    <w:rsid w:val="00C96B38"/>
    <w:rsid w:val="00C96BAE"/>
    <w:rsid w:val="00C96E78"/>
    <w:rsid w:val="00C96EE7"/>
    <w:rsid w:val="00C971FE"/>
    <w:rsid w:val="00C972A7"/>
    <w:rsid w:val="00C976E6"/>
    <w:rsid w:val="00C978DF"/>
    <w:rsid w:val="00C97B97"/>
    <w:rsid w:val="00CA03AC"/>
    <w:rsid w:val="00CA0D0D"/>
    <w:rsid w:val="00CA0E30"/>
    <w:rsid w:val="00CA108F"/>
    <w:rsid w:val="00CA16DF"/>
    <w:rsid w:val="00CA16FC"/>
    <w:rsid w:val="00CA1A27"/>
    <w:rsid w:val="00CA1ADD"/>
    <w:rsid w:val="00CA1F1C"/>
    <w:rsid w:val="00CA2718"/>
    <w:rsid w:val="00CA2ECC"/>
    <w:rsid w:val="00CA3F06"/>
    <w:rsid w:val="00CA4301"/>
    <w:rsid w:val="00CA5609"/>
    <w:rsid w:val="00CA6BE0"/>
    <w:rsid w:val="00CA6E4D"/>
    <w:rsid w:val="00CA7A02"/>
    <w:rsid w:val="00CB0003"/>
    <w:rsid w:val="00CB0053"/>
    <w:rsid w:val="00CB0D51"/>
    <w:rsid w:val="00CB0DF6"/>
    <w:rsid w:val="00CB13A7"/>
    <w:rsid w:val="00CB3312"/>
    <w:rsid w:val="00CB3667"/>
    <w:rsid w:val="00CB4151"/>
    <w:rsid w:val="00CB428D"/>
    <w:rsid w:val="00CB4C93"/>
    <w:rsid w:val="00CB4F62"/>
    <w:rsid w:val="00CB544A"/>
    <w:rsid w:val="00CB5D0B"/>
    <w:rsid w:val="00CB715D"/>
    <w:rsid w:val="00CB755D"/>
    <w:rsid w:val="00CB75BB"/>
    <w:rsid w:val="00CB7FA7"/>
    <w:rsid w:val="00CC002B"/>
    <w:rsid w:val="00CC0224"/>
    <w:rsid w:val="00CC0603"/>
    <w:rsid w:val="00CC07CE"/>
    <w:rsid w:val="00CC1051"/>
    <w:rsid w:val="00CC16ED"/>
    <w:rsid w:val="00CC1AC9"/>
    <w:rsid w:val="00CC2329"/>
    <w:rsid w:val="00CC2EB4"/>
    <w:rsid w:val="00CC3866"/>
    <w:rsid w:val="00CC432B"/>
    <w:rsid w:val="00CC513D"/>
    <w:rsid w:val="00CC539A"/>
    <w:rsid w:val="00CC54CB"/>
    <w:rsid w:val="00CC6399"/>
    <w:rsid w:val="00CC6C88"/>
    <w:rsid w:val="00CC70BC"/>
    <w:rsid w:val="00CC78DE"/>
    <w:rsid w:val="00CC7F7E"/>
    <w:rsid w:val="00CD0D19"/>
    <w:rsid w:val="00CD1FC2"/>
    <w:rsid w:val="00CD1FF7"/>
    <w:rsid w:val="00CD2169"/>
    <w:rsid w:val="00CD2975"/>
    <w:rsid w:val="00CD2BB9"/>
    <w:rsid w:val="00CD3DD8"/>
    <w:rsid w:val="00CD4221"/>
    <w:rsid w:val="00CD4256"/>
    <w:rsid w:val="00CD4341"/>
    <w:rsid w:val="00CD4AF6"/>
    <w:rsid w:val="00CD5552"/>
    <w:rsid w:val="00CD5DE3"/>
    <w:rsid w:val="00CD5E42"/>
    <w:rsid w:val="00CD5EEF"/>
    <w:rsid w:val="00CD618E"/>
    <w:rsid w:val="00CD62CD"/>
    <w:rsid w:val="00CD7799"/>
    <w:rsid w:val="00CD792B"/>
    <w:rsid w:val="00CD7E86"/>
    <w:rsid w:val="00CE014F"/>
    <w:rsid w:val="00CE05A3"/>
    <w:rsid w:val="00CE0C84"/>
    <w:rsid w:val="00CE14FB"/>
    <w:rsid w:val="00CE19D0"/>
    <w:rsid w:val="00CE1C47"/>
    <w:rsid w:val="00CE2823"/>
    <w:rsid w:val="00CE302A"/>
    <w:rsid w:val="00CE3CD3"/>
    <w:rsid w:val="00CE3EAA"/>
    <w:rsid w:val="00CE4AEC"/>
    <w:rsid w:val="00CE50A7"/>
    <w:rsid w:val="00CE5575"/>
    <w:rsid w:val="00CE7351"/>
    <w:rsid w:val="00CE7C97"/>
    <w:rsid w:val="00CE7DE8"/>
    <w:rsid w:val="00CF092B"/>
    <w:rsid w:val="00CF0A8E"/>
    <w:rsid w:val="00CF1B39"/>
    <w:rsid w:val="00CF1CA2"/>
    <w:rsid w:val="00CF2189"/>
    <w:rsid w:val="00CF348F"/>
    <w:rsid w:val="00CF452A"/>
    <w:rsid w:val="00CF45D0"/>
    <w:rsid w:val="00CF517C"/>
    <w:rsid w:val="00CF52E2"/>
    <w:rsid w:val="00CF6D96"/>
    <w:rsid w:val="00CF7A4A"/>
    <w:rsid w:val="00D003BF"/>
    <w:rsid w:val="00D006B2"/>
    <w:rsid w:val="00D00AC7"/>
    <w:rsid w:val="00D00B97"/>
    <w:rsid w:val="00D00E83"/>
    <w:rsid w:val="00D0159D"/>
    <w:rsid w:val="00D015CE"/>
    <w:rsid w:val="00D0293B"/>
    <w:rsid w:val="00D02FC8"/>
    <w:rsid w:val="00D031AB"/>
    <w:rsid w:val="00D0516D"/>
    <w:rsid w:val="00D0546E"/>
    <w:rsid w:val="00D058B3"/>
    <w:rsid w:val="00D05904"/>
    <w:rsid w:val="00D06986"/>
    <w:rsid w:val="00D07051"/>
    <w:rsid w:val="00D10190"/>
    <w:rsid w:val="00D104C7"/>
    <w:rsid w:val="00D10525"/>
    <w:rsid w:val="00D10621"/>
    <w:rsid w:val="00D10797"/>
    <w:rsid w:val="00D10A5C"/>
    <w:rsid w:val="00D11DF7"/>
    <w:rsid w:val="00D120BC"/>
    <w:rsid w:val="00D127BF"/>
    <w:rsid w:val="00D13EC5"/>
    <w:rsid w:val="00D14B80"/>
    <w:rsid w:val="00D15C77"/>
    <w:rsid w:val="00D16399"/>
    <w:rsid w:val="00D163B5"/>
    <w:rsid w:val="00D1700A"/>
    <w:rsid w:val="00D1751D"/>
    <w:rsid w:val="00D1793F"/>
    <w:rsid w:val="00D17AD2"/>
    <w:rsid w:val="00D17D96"/>
    <w:rsid w:val="00D20128"/>
    <w:rsid w:val="00D2070D"/>
    <w:rsid w:val="00D22280"/>
    <w:rsid w:val="00D224FD"/>
    <w:rsid w:val="00D22A50"/>
    <w:rsid w:val="00D22E14"/>
    <w:rsid w:val="00D231DB"/>
    <w:rsid w:val="00D23345"/>
    <w:rsid w:val="00D2398F"/>
    <w:rsid w:val="00D243D4"/>
    <w:rsid w:val="00D24677"/>
    <w:rsid w:val="00D24705"/>
    <w:rsid w:val="00D24BF0"/>
    <w:rsid w:val="00D251E8"/>
    <w:rsid w:val="00D25248"/>
    <w:rsid w:val="00D25542"/>
    <w:rsid w:val="00D2677B"/>
    <w:rsid w:val="00D27609"/>
    <w:rsid w:val="00D279AA"/>
    <w:rsid w:val="00D31243"/>
    <w:rsid w:val="00D313FE"/>
    <w:rsid w:val="00D317EC"/>
    <w:rsid w:val="00D31F40"/>
    <w:rsid w:val="00D323C8"/>
    <w:rsid w:val="00D32F4D"/>
    <w:rsid w:val="00D33449"/>
    <w:rsid w:val="00D3436E"/>
    <w:rsid w:val="00D34865"/>
    <w:rsid w:val="00D348D3"/>
    <w:rsid w:val="00D34C82"/>
    <w:rsid w:val="00D35442"/>
    <w:rsid w:val="00D3581A"/>
    <w:rsid w:val="00D3635D"/>
    <w:rsid w:val="00D3672E"/>
    <w:rsid w:val="00D36B4C"/>
    <w:rsid w:val="00D37C0B"/>
    <w:rsid w:val="00D4026B"/>
    <w:rsid w:val="00D40319"/>
    <w:rsid w:val="00D40C00"/>
    <w:rsid w:val="00D41561"/>
    <w:rsid w:val="00D418BD"/>
    <w:rsid w:val="00D41B3B"/>
    <w:rsid w:val="00D422CF"/>
    <w:rsid w:val="00D42386"/>
    <w:rsid w:val="00D42557"/>
    <w:rsid w:val="00D43FC9"/>
    <w:rsid w:val="00D44548"/>
    <w:rsid w:val="00D448F1"/>
    <w:rsid w:val="00D44CDD"/>
    <w:rsid w:val="00D450A0"/>
    <w:rsid w:val="00D459F4"/>
    <w:rsid w:val="00D45C49"/>
    <w:rsid w:val="00D46824"/>
    <w:rsid w:val="00D4709E"/>
    <w:rsid w:val="00D47208"/>
    <w:rsid w:val="00D5161B"/>
    <w:rsid w:val="00D51AC4"/>
    <w:rsid w:val="00D51B10"/>
    <w:rsid w:val="00D5219B"/>
    <w:rsid w:val="00D521AC"/>
    <w:rsid w:val="00D53276"/>
    <w:rsid w:val="00D53901"/>
    <w:rsid w:val="00D53E7F"/>
    <w:rsid w:val="00D54C82"/>
    <w:rsid w:val="00D55222"/>
    <w:rsid w:val="00D55736"/>
    <w:rsid w:val="00D5626F"/>
    <w:rsid w:val="00D568C0"/>
    <w:rsid w:val="00D6018A"/>
    <w:rsid w:val="00D61372"/>
    <w:rsid w:val="00D61AFB"/>
    <w:rsid w:val="00D622BF"/>
    <w:rsid w:val="00D627A4"/>
    <w:rsid w:val="00D62973"/>
    <w:rsid w:val="00D63973"/>
    <w:rsid w:val="00D652BB"/>
    <w:rsid w:val="00D653E2"/>
    <w:rsid w:val="00D6546F"/>
    <w:rsid w:val="00D664B5"/>
    <w:rsid w:val="00D67289"/>
    <w:rsid w:val="00D678D0"/>
    <w:rsid w:val="00D67F43"/>
    <w:rsid w:val="00D70325"/>
    <w:rsid w:val="00D70C5C"/>
    <w:rsid w:val="00D70C8D"/>
    <w:rsid w:val="00D70F97"/>
    <w:rsid w:val="00D711F3"/>
    <w:rsid w:val="00D712F5"/>
    <w:rsid w:val="00D71AB7"/>
    <w:rsid w:val="00D72AC4"/>
    <w:rsid w:val="00D7323D"/>
    <w:rsid w:val="00D7404F"/>
    <w:rsid w:val="00D74222"/>
    <w:rsid w:val="00D74E35"/>
    <w:rsid w:val="00D75FE2"/>
    <w:rsid w:val="00D7657C"/>
    <w:rsid w:val="00D76C5A"/>
    <w:rsid w:val="00D76EC0"/>
    <w:rsid w:val="00D80ABF"/>
    <w:rsid w:val="00D80B2B"/>
    <w:rsid w:val="00D81A30"/>
    <w:rsid w:val="00D81EF8"/>
    <w:rsid w:val="00D822F1"/>
    <w:rsid w:val="00D850C8"/>
    <w:rsid w:val="00D85505"/>
    <w:rsid w:val="00D86C5E"/>
    <w:rsid w:val="00D87BA2"/>
    <w:rsid w:val="00D87F17"/>
    <w:rsid w:val="00D90788"/>
    <w:rsid w:val="00D908FF"/>
    <w:rsid w:val="00D918B8"/>
    <w:rsid w:val="00D91A21"/>
    <w:rsid w:val="00D91C03"/>
    <w:rsid w:val="00D92083"/>
    <w:rsid w:val="00D924B6"/>
    <w:rsid w:val="00D92E8A"/>
    <w:rsid w:val="00D9586F"/>
    <w:rsid w:val="00D95B76"/>
    <w:rsid w:val="00D96519"/>
    <w:rsid w:val="00D96BF5"/>
    <w:rsid w:val="00D96C9D"/>
    <w:rsid w:val="00D96FB7"/>
    <w:rsid w:val="00D97975"/>
    <w:rsid w:val="00DA0CAD"/>
    <w:rsid w:val="00DA1AF5"/>
    <w:rsid w:val="00DA1E5F"/>
    <w:rsid w:val="00DA35CD"/>
    <w:rsid w:val="00DA3668"/>
    <w:rsid w:val="00DA37C6"/>
    <w:rsid w:val="00DA3958"/>
    <w:rsid w:val="00DA3EE8"/>
    <w:rsid w:val="00DA629C"/>
    <w:rsid w:val="00DA6AE6"/>
    <w:rsid w:val="00DA6D60"/>
    <w:rsid w:val="00DA76FD"/>
    <w:rsid w:val="00DA7821"/>
    <w:rsid w:val="00DB01FC"/>
    <w:rsid w:val="00DB135B"/>
    <w:rsid w:val="00DB1C0D"/>
    <w:rsid w:val="00DB1C43"/>
    <w:rsid w:val="00DB2D1F"/>
    <w:rsid w:val="00DB2E74"/>
    <w:rsid w:val="00DB38AC"/>
    <w:rsid w:val="00DB38F1"/>
    <w:rsid w:val="00DB3B84"/>
    <w:rsid w:val="00DB42F0"/>
    <w:rsid w:val="00DB4AEE"/>
    <w:rsid w:val="00DB4DF0"/>
    <w:rsid w:val="00DB4E97"/>
    <w:rsid w:val="00DB5197"/>
    <w:rsid w:val="00DB5C6E"/>
    <w:rsid w:val="00DB7048"/>
    <w:rsid w:val="00DC01BD"/>
    <w:rsid w:val="00DC089D"/>
    <w:rsid w:val="00DC0DDE"/>
    <w:rsid w:val="00DC270E"/>
    <w:rsid w:val="00DC299E"/>
    <w:rsid w:val="00DC3232"/>
    <w:rsid w:val="00DC559C"/>
    <w:rsid w:val="00DC5FE7"/>
    <w:rsid w:val="00DC62F5"/>
    <w:rsid w:val="00DC6350"/>
    <w:rsid w:val="00DC683E"/>
    <w:rsid w:val="00DC6A6C"/>
    <w:rsid w:val="00DC6F9D"/>
    <w:rsid w:val="00DD0650"/>
    <w:rsid w:val="00DD0D86"/>
    <w:rsid w:val="00DD204E"/>
    <w:rsid w:val="00DD2186"/>
    <w:rsid w:val="00DD22B2"/>
    <w:rsid w:val="00DD321A"/>
    <w:rsid w:val="00DD4110"/>
    <w:rsid w:val="00DD4718"/>
    <w:rsid w:val="00DD479D"/>
    <w:rsid w:val="00DD47DA"/>
    <w:rsid w:val="00DD5216"/>
    <w:rsid w:val="00DD5606"/>
    <w:rsid w:val="00DD570F"/>
    <w:rsid w:val="00DD5E34"/>
    <w:rsid w:val="00DD5F6F"/>
    <w:rsid w:val="00DD6208"/>
    <w:rsid w:val="00DD6217"/>
    <w:rsid w:val="00DD6472"/>
    <w:rsid w:val="00DD6575"/>
    <w:rsid w:val="00DD6D73"/>
    <w:rsid w:val="00DE00CA"/>
    <w:rsid w:val="00DE0C43"/>
    <w:rsid w:val="00DE10CD"/>
    <w:rsid w:val="00DE170F"/>
    <w:rsid w:val="00DE1BBF"/>
    <w:rsid w:val="00DE262A"/>
    <w:rsid w:val="00DE3525"/>
    <w:rsid w:val="00DE37C0"/>
    <w:rsid w:val="00DE399D"/>
    <w:rsid w:val="00DE3D68"/>
    <w:rsid w:val="00DE3DFC"/>
    <w:rsid w:val="00DE3E6E"/>
    <w:rsid w:val="00DE4277"/>
    <w:rsid w:val="00DE4F77"/>
    <w:rsid w:val="00DE50C7"/>
    <w:rsid w:val="00DE50CE"/>
    <w:rsid w:val="00DE5205"/>
    <w:rsid w:val="00DE5259"/>
    <w:rsid w:val="00DE5746"/>
    <w:rsid w:val="00DE58D5"/>
    <w:rsid w:val="00DE61C5"/>
    <w:rsid w:val="00DE6906"/>
    <w:rsid w:val="00DF0654"/>
    <w:rsid w:val="00DF11D4"/>
    <w:rsid w:val="00DF2598"/>
    <w:rsid w:val="00DF292F"/>
    <w:rsid w:val="00DF31DC"/>
    <w:rsid w:val="00DF36B0"/>
    <w:rsid w:val="00DF3A42"/>
    <w:rsid w:val="00DF4AD6"/>
    <w:rsid w:val="00DF6E5E"/>
    <w:rsid w:val="00DF78B6"/>
    <w:rsid w:val="00DF7979"/>
    <w:rsid w:val="00DF79E0"/>
    <w:rsid w:val="00E00302"/>
    <w:rsid w:val="00E006A8"/>
    <w:rsid w:val="00E00C82"/>
    <w:rsid w:val="00E0134A"/>
    <w:rsid w:val="00E01796"/>
    <w:rsid w:val="00E017BE"/>
    <w:rsid w:val="00E01B15"/>
    <w:rsid w:val="00E020CD"/>
    <w:rsid w:val="00E02886"/>
    <w:rsid w:val="00E02A3E"/>
    <w:rsid w:val="00E02AAD"/>
    <w:rsid w:val="00E0312F"/>
    <w:rsid w:val="00E03EEB"/>
    <w:rsid w:val="00E04B77"/>
    <w:rsid w:val="00E04D06"/>
    <w:rsid w:val="00E050DF"/>
    <w:rsid w:val="00E05361"/>
    <w:rsid w:val="00E05F3E"/>
    <w:rsid w:val="00E06334"/>
    <w:rsid w:val="00E06CD8"/>
    <w:rsid w:val="00E076BE"/>
    <w:rsid w:val="00E07734"/>
    <w:rsid w:val="00E07DB2"/>
    <w:rsid w:val="00E07F2D"/>
    <w:rsid w:val="00E109C0"/>
    <w:rsid w:val="00E11802"/>
    <w:rsid w:val="00E1241C"/>
    <w:rsid w:val="00E1262E"/>
    <w:rsid w:val="00E12BE0"/>
    <w:rsid w:val="00E12DF3"/>
    <w:rsid w:val="00E165B5"/>
    <w:rsid w:val="00E16C1B"/>
    <w:rsid w:val="00E16D50"/>
    <w:rsid w:val="00E17AD1"/>
    <w:rsid w:val="00E21CB5"/>
    <w:rsid w:val="00E21D51"/>
    <w:rsid w:val="00E22549"/>
    <w:rsid w:val="00E2267B"/>
    <w:rsid w:val="00E232C4"/>
    <w:rsid w:val="00E237AE"/>
    <w:rsid w:val="00E24945"/>
    <w:rsid w:val="00E24AE9"/>
    <w:rsid w:val="00E24B7C"/>
    <w:rsid w:val="00E254FA"/>
    <w:rsid w:val="00E2551C"/>
    <w:rsid w:val="00E2591A"/>
    <w:rsid w:val="00E26858"/>
    <w:rsid w:val="00E2705B"/>
    <w:rsid w:val="00E273A5"/>
    <w:rsid w:val="00E2741E"/>
    <w:rsid w:val="00E2781C"/>
    <w:rsid w:val="00E3065B"/>
    <w:rsid w:val="00E32189"/>
    <w:rsid w:val="00E329CC"/>
    <w:rsid w:val="00E34215"/>
    <w:rsid w:val="00E34DCF"/>
    <w:rsid w:val="00E34F7E"/>
    <w:rsid w:val="00E35111"/>
    <w:rsid w:val="00E35185"/>
    <w:rsid w:val="00E36320"/>
    <w:rsid w:val="00E36630"/>
    <w:rsid w:val="00E36A8B"/>
    <w:rsid w:val="00E3790E"/>
    <w:rsid w:val="00E37975"/>
    <w:rsid w:val="00E40030"/>
    <w:rsid w:val="00E40372"/>
    <w:rsid w:val="00E404DF"/>
    <w:rsid w:val="00E408B5"/>
    <w:rsid w:val="00E40A42"/>
    <w:rsid w:val="00E40B4B"/>
    <w:rsid w:val="00E40E3B"/>
    <w:rsid w:val="00E40F45"/>
    <w:rsid w:val="00E41A0F"/>
    <w:rsid w:val="00E42B79"/>
    <w:rsid w:val="00E437D0"/>
    <w:rsid w:val="00E43AB5"/>
    <w:rsid w:val="00E43FEE"/>
    <w:rsid w:val="00E44652"/>
    <w:rsid w:val="00E45053"/>
    <w:rsid w:val="00E45A0F"/>
    <w:rsid w:val="00E469AE"/>
    <w:rsid w:val="00E473D0"/>
    <w:rsid w:val="00E50B55"/>
    <w:rsid w:val="00E519CA"/>
    <w:rsid w:val="00E51AED"/>
    <w:rsid w:val="00E51C57"/>
    <w:rsid w:val="00E51CF0"/>
    <w:rsid w:val="00E52284"/>
    <w:rsid w:val="00E5255F"/>
    <w:rsid w:val="00E52829"/>
    <w:rsid w:val="00E52C55"/>
    <w:rsid w:val="00E53F78"/>
    <w:rsid w:val="00E542CF"/>
    <w:rsid w:val="00E549C9"/>
    <w:rsid w:val="00E54B6B"/>
    <w:rsid w:val="00E55979"/>
    <w:rsid w:val="00E55F42"/>
    <w:rsid w:val="00E55F91"/>
    <w:rsid w:val="00E56687"/>
    <w:rsid w:val="00E5675B"/>
    <w:rsid w:val="00E56865"/>
    <w:rsid w:val="00E5693B"/>
    <w:rsid w:val="00E578A2"/>
    <w:rsid w:val="00E57C9E"/>
    <w:rsid w:val="00E60678"/>
    <w:rsid w:val="00E60752"/>
    <w:rsid w:val="00E6132A"/>
    <w:rsid w:val="00E61877"/>
    <w:rsid w:val="00E62275"/>
    <w:rsid w:val="00E63530"/>
    <w:rsid w:val="00E641D7"/>
    <w:rsid w:val="00E64335"/>
    <w:rsid w:val="00E668E8"/>
    <w:rsid w:val="00E66A1B"/>
    <w:rsid w:val="00E701AC"/>
    <w:rsid w:val="00E7091E"/>
    <w:rsid w:val="00E721D4"/>
    <w:rsid w:val="00E7246A"/>
    <w:rsid w:val="00E72AB7"/>
    <w:rsid w:val="00E73422"/>
    <w:rsid w:val="00E73E6F"/>
    <w:rsid w:val="00E73EDF"/>
    <w:rsid w:val="00E74315"/>
    <w:rsid w:val="00E74414"/>
    <w:rsid w:val="00E74850"/>
    <w:rsid w:val="00E7493E"/>
    <w:rsid w:val="00E74974"/>
    <w:rsid w:val="00E74CC7"/>
    <w:rsid w:val="00E75A44"/>
    <w:rsid w:val="00E7659A"/>
    <w:rsid w:val="00E769F9"/>
    <w:rsid w:val="00E76C16"/>
    <w:rsid w:val="00E774E4"/>
    <w:rsid w:val="00E77782"/>
    <w:rsid w:val="00E77869"/>
    <w:rsid w:val="00E808B9"/>
    <w:rsid w:val="00E80AA9"/>
    <w:rsid w:val="00E81090"/>
    <w:rsid w:val="00E8117E"/>
    <w:rsid w:val="00E816C4"/>
    <w:rsid w:val="00E81F91"/>
    <w:rsid w:val="00E8228C"/>
    <w:rsid w:val="00E828BD"/>
    <w:rsid w:val="00E82A91"/>
    <w:rsid w:val="00E82BC8"/>
    <w:rsid w:val="00E8335D"/>
    <w:rsid w:val="00E8386C"/>
    <w:rsid w:val="00E83BFC"/>
    <w:rsid w:val="00E83DA5"/>
    <w:rsid w:val="00E840F9"/>
    <w:rsid w:val="00E843F5"/>
    <w:rsid w:val="00E8506D"/>
    <w:rsid w:val="00E85879"/>
    <w:rsid w:val="00E86093"/>
    <w:rsid w:val="00E8646F"/>
    <w:rsid w:val="00E8697C"/>
    <w:rsid w:val="00E871FE"/>
    <w:rsid w:val="00E87387"/>
    <w:rsid w:val="00E87444"/>
    <w:rsid w:val="00E874B7"/>
    <w:rsid w:val="00E874F2"/>
    <w:rsid w:val="00E87A12"/>
    <w:rsid w:val="00E90EB2"/>
    <w:rsid w:val="00E91F1A"/>
    <w:rsid w:val="00E92BED"/>
    <w:rsid w:val="00E93549"/>
    <w:rsid w:val="00E938B7"/>
    <w:rsid w:val="00E947A9"/>
    <w:rsid w:val="00E94A43"/>
    <w:rsid w:val="00E95C25"/>
    <w:rsid w:val="00E95D0B"/>
    <w:rsid w:val="00E95D27"/>
    <w:rsid w:val="00E95F17"/>
    <w:rsid w:val="00E97391"/>
    <w:rsid w:val="00E97E66"/>
    <w:rsid w:val="00EA0033"/>
    <w:rsid w:val="00EA0772"/>
    <w:rsid w:val="00EA0A90"/>
    <w:rsid w:val="00EA0B66"/>
    <w:rsid w:val="00EA12FB"/>
    <w:rsid w:val="00EA2385"/>
    <w:rsid w:val="00EA2E64"/>
    <w:rsid w:val="00EA3632"/>
    <w:rsid w:val="00EA48B7"/>
    <w:rsid w:val="00EA4B61"/>
    <w:rsid w:val="00EA4D63"/>
    <w:rsid w:val="00EA4E0A"/>
    <w:rsid w:val="00EA4F61"/>
    <w:rsid w:val="00EA6C64"/>
    <w:rsid w:val="00EA71A5"/>
    <w:rsid w:val="00EB02AF"/>
    <w:rsid w:val="00EB13EB"/>
    <w:rsid w:val="00EB1D63"/>
    <w:rsid w:val="00EB244D"/>
    <w:rsid w:val="00EB2C19"/>
    <w:rsid w:val="00EB30D2"/>
    <w:rsid w:val="00EB3219"/>
    <w:rsid w:val="00EB3429"/>
    <w:rsid w:val="00EB457F"/>
    <w:rsid w:val="00EB4FBE"/>
    <w:rsid w:val="00EB52D0"/>
    <w:rsid w:val="00EB6766"/>
    <w:rsid w:val="00EB6E08"/>
    <w:rsid w:val="00EB6E5B"/>
    <w:rsid w:val="00EB6E8D"/>
    <w:rsid w:val="00EB7135"/>
    <w:rsid w:val="00EB753E"/>
    <w:rsid w:val="00EB796B"/>
    <w:rsid w:val="00EB7B56"/>
    <w:rsid w:val="00EC044A"/>
    <w:rsid w:val="00EC08D5"/>
    <w:rsid w:val="00EC0984"/>
    <w:rsid w:val="00EC0B93"/>
    <w:rsid w:val="00EC1E36"/>
    <w:rsid w:val="00EC20D2"/>
    <w:rsid w:val="00EC3B71"/>
    <w:rsid w:val="00EC4E05"/>
    <w:rsid w:val="00EC5105"/>
    <w:rsid w:val="00EC5870"/>
    <w:rsid w:val="00EC58EA"/>
    <w:rsid w:val="00EC5E28"/>
    <w:rsid w:val="00EC6136"/>
    <w:rsid w:val="00EC69AE"/>
    <w:rsid w:val="00EC6B3E"/>
    <w:rsid w:val="00EC71C7"/>
    <w:rsid w:val="00ED002F"/>
    <w:rsid w:val="00ED00CE"/>
    <w:rsid w:val="00ED050A"/>
    <w:rsid w:val="00ED08C3"/>
    <w:rsid w:val="00ED0957"/>
    <w:rsid w:val="00ED22FE"/>
    <w:rsid w:val="00ED30C8"/>
    <w:rsid w:val="00ED377D"/>
    <w:rsid w:val="00ED3C2E"/>
    <w:rsid w:val="00ED5281"/>
    <w:rsid w:val="00ED601A"/>
    <w:rsid w:val="00ED72BE"/>
    <w:rsid w:val="00ED77AF"/>
    <w:rsid w:val="00ED7940"/>
    <w:rsid w:val="00ED7D96"/>
    <w:rsid w:val="00EE05D6"/>
    <w:rsid w:val="00EE103A"/>
    <w:rsid w:val="00EE150E"/>
    <w:rsid w:val="00EE2028"/>
    <w:rsid w:val="00EE2B1F"/>
    <w:rsid w:val="00EE3911"/>
    <w:rsid w:val="00EE415F"/>
    <w:rsid w:val="00EE4D47"/>
    <w:rsid w:val="00EE4DB0"/>
    <w:rsid w:val="00EE4E6C"/>
    <w:rsid w:val="00EE55C4"/>
    <w:rsid w:val="00EE55F3"/>
    <w:rsid w:val="00EE5C51"/>
    <w:rsid w:val="00EE67E5"/>
    <w:rsid w:val="00EE73B8"/>
    <w:rsid w:val="00EE74A5"/>
    <w:rsid w:val="00EE7C4E"/>
    <w:rsid w:val="00EE7E4E"/>
    <w:rsid w:val="00EF16AF"/>
    <w:rsid w:val="00EF1ADD"/>
    <w:rsid w:val="00EF2614"/>
    <w:rsid w:val="00EF295A"/>
    <w:rsid w:val="00EF2B54"/>
    <w:rsid w:val="00EF2D05"/>
    <w:rsid w:val="00EF4AFA"/>
    <w:rsid w:val="00EF5119"/>
    <w:rsid w:val="00EF5185"/>
    <w:rsid w:val="00EF66BF"/>
    <w:rsid w:val="00EF77AC"/>
    <w:rsid w:val="00EF7846"/>
    <w:rsid w:val="00EF7E9F"/>
    <w:rsid w:val="00F00700"/>
    <w:rsid w:val="00F01198"/>
    <w:rsid w:val="00F0192A"/>
    <w:rsid w:val="00F01AE2"/>
    <w:rsid w:val="00F01DD5"/>
    <w:rsid w:val="00F0228B"/>
    <w:rsid w:val="00F02FA2"/>
    <w:rsid w:val="00F03567"/>
    <w:rsid w:val="00F05351"/>
    <w:rsid w:val="00F06E48"/>
    <w:rsid w:val="00F07083"/>
    <w:rsid w:val="00F076BD"/>
    <w:rsid w:val="00F07985"/>
    <w:rsid w:val="00F07D1C"/>
    <w:rsid w:val="00F10680"/>
    <w:rsid w:val="00F1187E"/>
    <w:rsid w:val="00F1227C"/>
    <w:rsid w:val="00F12459"/>
    <w:rsid w:val="00F12B51"/>
    <w:rsid w:val="00F131D8"/>
    <w:rsid w:val="00F1357B"/>
    <w:rsid w:val="00F13A65"/>
    <w:rsid w:val="00F13CFD"/>
    <w:rsid w:val="00F14189"/>
    <w:rsid w:val="00F14CA4"/>
    <w:rsid w:val="00F153B5"/>
    <w:rsid w:val="00F15CC2"/>
    <w:rsid w:val="00F160A0"/>
    <w:rsid w:val="00F160A8"/>
    <w:rsid w:val="00F16940"/>
    <w:rsid w:val="00F16D18"/>
    <w:rsid w:val="00F2008A"/>
    <w:rsid w:val="00F2048A"/>
    <w:rsid w:val="00F20A26"/>
    <w:rsid w:val="00F22060"/>
    <w:rsid w:val="00F221B7"/>
    <w:rsid w:val="00F222C9"/>
    <w:rsid w:val="00F2246B"/>
    <w:rsid w:val="00F22653"/>
    <w:rsid w:val="00F22986"/>
    <w:rsid w:val="00F23396"/>
    <w:rsid w:val="00F238ED"/>
    <w:rsid w:val="00F24748"/>
    <w:rsid w:val="00F24844"/>
    <w:rsid w:val="00F261EB"/>
    <w:rsid w:val="00F26741"/>
    <w:rsid w:val="00F267D9"/>
    <w:rsid w:val="00F26AB8"/>
    <w:rsid w:val="00F26CC6"/>
    <w:rsid w:val="00F26E93"/>
    <w:rsid w:val="00F278B2"/>
    <w:rsid w:val="00F305EC"/>
    <w:rsid w:val="00F30B1E"/>
    <w:rsid w:val="00F3144C"/>
    <w:rsid w:val="00F318C4"/>
    <w:rsid w:val="00F32205"/>
    <w:rsid w:val="00F324EE"/>
    <w:rsid w:val="00F32721"/>
    <w:rsid w:val="00F32D5E"/>
    <w:rsid w:val="00F32D9E"/>
    <w:rsid w:val="00F32DF0"/>
    <w:rsid w:val="00F33CCC"/>
    <w:rsid w:val="00F35127"/>
    <w:rsid w:val="00F35894"/>
    <w:rsid w:val="00F35C75"/>
    <w:rsid w:val="00F3620C"/>
    <w:rsid w:val="00F365F7"/>
    <w:rsid w:val="00F3678E"/>
    <w:rsid w:val="00F36797"/>
    <w:rsid w:val="00F37460"/>
    <w:rsid w:val="00F37B39"/>
    <w:rsid w:val="00F4010F"/>
    <w:rsid w:val="00F406B4"/>
    <w:rsid w:val="00F40AF7"/>
    <w:rsid w:val="00F40CDB"/>
    <w:rsid w:val="00F41157"/>
    <w:rsid w:val="00F42809"/>
    <w:rsid w:val="00F4363A"/>
    <w:rsid w:val="00F437B1"/>
    <w:rsid w:val="00F43D22"/>
    <w:rsid w:val="00F443B4"/>
    <w:rsid w:val="00F4528C"/>
    <w:rsid w:val="00F45C11"/>
    <w:rsid w:val="00F4658F"/>
    <w:rsid w:val="00F46886"/>
    <w:rsid w:val="00F46C45"/>
    <w:rsid w:val="00F46CC6"/>
    <w:rsid w:val="00F47148"/>
    <w:rsid w:val="00F52063"/>
    <w:rsid w:val="00F523E8"/>
    <w:rsid w:val="00F52532"/>
    <w:rsid w:val="00F52DA4"/>
    <w:rsid w:val="00F535B4"/>
    <w:rsid w:val="00F53972"/>
    <w:rsid w:val="00F541AB"/>
    <w:rsid w:val="00F54700"/>
    <w:rsid w:val="00F54D2F"/>
    <w:rsid w:val="00F5514F"/>
    <w:rsid w:val="00F5531B"/>
    <w:rsid w:val="00F5554C"/>
    <w:rsid w:val="00F5660F"/>
    <w:rsid w:val="00F566A1"/>
    <w:rsid w:val="00F56CF5"/>
    <w:rsid w:val="00F6046C"/>
    <w:rsid w:val="00F60987"/>
    <w:rsid w:val="00F60BBD"/>
    <w:rsid w:val="00F60F4C"/>
    <w:rsid w:val="00F61644"/>
    <w:rsid w:val="00F62107"/>
    <w:rsid w:val="00F62EDC"/>
    <w:rsid w:val="00F63A84"/>
    <w:rsid w:val="00F6586A"/>
    <w:rsid w:val="00F66779"/>
    <w:rsid w:val="00F676D6"/>
    <w:rsid w:val="00F678A2"/>
    <w:rsid w:val="00F67B7D"/>
    <w:rsid w:val="00F67EF7"/>
    <w:rsid w:val="00F71465"/>
    <w:rsid w:val="00F71952"/>
    <w:rsid w:val="00F71DEE"/>
    <w:rsid w:val="00F71FDD"/>
    <w:rsid w:val="00F72026"/>
    <w:rsid w:val="00F723D1"/>
    <w:rsid w:val="00F72686"/>
    <w:rsid w:val="00F735AB"/>
    <w:rsid w:val="00F735CF"/>
    <w:rsid w:val="00F74282"/>
    <w:rsid w:val="00F74FAC"/>
    <w:rsid w:val="00F759E8"/>
    <w:rsid w:val="00F76B00"/>
    <w:rsid w:val="00F7700C"/>
    <w:rsid w:val="00F77172"/>
    <w:rsid w:val="00F77246"/>
    <w:rsid w:val="00F7739F"/>
    <w:rsid w:val="00F77902"/>
    <w:rsid w:val="00F807F1"/>
    <w:rsid w:val="00F81181"/>
    <w:rsid w:val="00F81790"/>
    <w:rsid w:val="00F81EF4"/>
    <w:rsid w:val="00F829BE"/>
    <w:rsid w:val="00F82F90"/>
    <w:rsid w:val="00F8398D"/>
    <w:rsid w:val="00F842EC"/>
    <w:rsid w:val="00F8462B"/>
    <w:rsid w:val="00F859FD"/>
    <w:rsid w:val="00F8634E"/>
    <w:rsid w:val="00F871C3"/>
    <w:rsid w:val="00F87E8D"/>
    <w:rsid w:val="00F9021E"/>
    <w:rsid w:val="00F909E5"/>
    <w:rsid w:val="00F90FCE"/>
    <w:rsid w:val="00F9159F"/>
    <w:rsid w:val="00F91770"/>
    <w:rsid w:val="00F91952"/>
    <w:rsid w:val="00F91F15"/>
    <w:rsid w:val="00F9245C"/>
    <w:rsid w:val="00F92D7B"/>
    <w:rsid w:val="00F92D98"/>
    <w:rsid w:val="00F930EA"/>
    <w:rsid w:val="00F93985"/>
    <w:rsid w:val="00F9406B"/>
    <w:rsid w:val="00F95EC2"/>
    <w:rsid w:val="00F960AE"/>
    <w:rsid w:val="00F9619D"/>
    <w:rsid w:val="00F96533"/>
    <w:rsid w:val="00F96975"/>
    <w:rsid w:val="00F971C2"/>
    <w:rsid w:val="00F9788E"/>
    <w:rsid w:val="00F97ED4"/>
    <w:rsid w:val="00FA124A"/>
    <w:rsid w:val="00FA146D"/>
    <w:rsid w:val="00FA2187"/>
    <w:rsid w:val="00FA2AA3"/>
    <w:rsid w:val="00FA2FCD"/>
    <w:rsid w:val="00FA2FFA"/>
    <w:rsid w:val="00FA341C"/>
    <w:rsid w:val="00FA3C01"/>
    <w:rsid w:val="00FA41CC"/>
    <w:rsid w:val="00FA4271"/>
    <w:rsid w:val="00FA4322"/>
    <w:rsid w:val="00FA4E96"/>
    <w:rsid w:val="00FA4ECA"/>
    <w:rsid w:val="00FA5482"/>
    <w:rsid w:val="00FA57A1"/>
    <w:rsid w:val="00FA5833"/>
    <w:rsid w:val="00FA585B"/>
    <w:rsid w:val="00FA5E45"/>
    <w:rsid w:val="00FA5F33"/>
    <w:rsid w:val="00FA64C2"/>
    <w:rsid w:val="00FB0072"/>
    <w:rsid w:val="00FB0839"/>
    <w:rsid w:val="00FB099B"/>
    <w:rsid w:val="00FB0B27"/>
    <w:rsid w:val="00FB11C8"/>
    <w:rsid w:val="00FB125B"/>
    <w:rsid w:val="00FB2197"/>
    <w:rsid w:val="00FB4975"/>
    <w:rsid w:val="00FB4DE4"/>
    <w:rsid w:val="00FB4FCE"/>
    <w:rsid w:val="00FB5526"/>
    <w:rsid w:val="00FB579C"/>
    <w:rsid w:val="00FB5A4F"/>
    <w:rsid w:val="00FB6204"/>
    <w:rsid w:val="00FB63C4"/>
    <w:rsid w:val="00FB729A"/>
    <w:rsid w:val="00FC0016"/>
    <w:rsid w:val="00FC0E25"/>
    <w:rsid w:val="00FC1DFD"/>
    <w:rsid w:val="00FC2F78"/>
    <w:rsid w:val="00FC41F5"/>
    <w:rsid w:val="00FC42BC"/>
    <w:rsid w:val="00FC4A26"/>
    <w:rsid w:val="00FC4FF0"/>
    <w:rsid w:val="00FC56BA"/>
    <w:rsid w:val="00FC67FA"/>
    <w:rsid w:val="00FC713F"/>
    <w:rsid w:val="00FC729A"/>
    <w:rsid w:val="00FC7DB7"/>
    <w:rsid w:val="00FC7F8F"/>
    <w:rsid w:val="00FD0127"/>
    <w:rsid w:val="00FD1146"/>
    <w:rsid w:val="00FD13F5"/>
    <w:rsid w:val="00FD17F3"/>
    <w:rsid w:val="00FD205A"/>
    <w:rsid w:val="00FD22FB"/>
    <w:rsid w:val="00FD2E89"/>
    <w:rsid w:val="00FD38BD"/>
    <w:rsid w:val="00FD3C4A"/>
    <w:rsid w:val="00FD3C6C"/>
    <w:rsid w:val="00FD424B"/>
    <w:rsid w:val="00FD53AA"/>
    <w:rsid w:val="00FD5959"/>
    <w:rsid w:val="00FD652A"/>
    <w:rsid w:val="00FD7362"/>
    <w:rsid w:val="00FD7C3C"/>
    <w:rsid w:val="00FD7FAD"/>
    <w:rsid w:val="00FE0199"/>
    <w:rsid w:val="00FE22BD"/>
    <w:rsid w:val="00FE37D9"/>
    <w:rsid w:val="00FE3F51"/>
    <w:rsid w:val="00FE439E"/>
    <w:rsid w:val="00FE4439"/>
    <w:rsid w:val="00FE4E17"/>
    <w:rsid w:val="00FE50C8"/>
    <w:rsid w:val="00FE5A29"/>
    <w:rsid w:val="00FE606E"/>
    <w:rsid w:val="00FE6177"/>
    <w:rsid w:val="00FE6585"/>
    <w:rsid w:val="00FE6976"/>
    <w:rsid w:val="00FE6D97"/>
    <w:rsid w:val="00FE6F48"/>
    <w:rsid w:val="00FE7E07"/>
    <w:rsid w:val="00FE7FCF"/>
    <w:rsid w:val="00FF115F"/>
    <w:rsid w:val="00FF1629"/>
    <w:rsid w:val="00FF200A"/>
    <w:rsid w:val="00FF21E9"/>
    <w:rsid w:val="00FF32CA"/>
    <w:rsid w:val="00FF348C"/>
    <w:rsid w:val="00FF37E9"/>
    <w:rsid w:val="00FF3BD9"/>
    <w:rsid w:val="00FF3EF6"/>
    <w:rsid w:val="00FF4018"/>
    <w:rsid w:val="00FF4E07"/>
    <w:rsid w:val="00FF4E6D"/>
    <w:rsid w:val="00FF5F99"/>
    <w:rsid w:val="00FF6B7B"/>
    <w:rsid w:val="00FF6DA2"/>
    <w:rsid w:val="00FF7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A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AB8"/>
    <w:pPr>
      <w:spacing w:after="0" w:line="480" w:lineRule="auto"/>
      <w:ind w:firstLine="709"/>
      <w:jc w:val="both"/>
    </w:pPr>
    <w:rPr>
      <w:rFonts w:ascii="Times New Roman" w:hAnsi="Times New Roman"/>
      <w:sz w:val="24"/>
    </w:rPr>
  </w:style>
  <w:style w:type="paragraph" w:styleId="Heading1">
    <w:name w:val="heading 1"/>
    <w:basedOn w:val="Normal"/>
    <w:next w:val="Normal"/>
    <w:link w:val="Heading1Char"/>
    <w:uiPriority w:val="9"/>
    <w:qFormat/>
    <w:rsid w:val="001D10A6"/>
    <w:pPr>
      <w:keepNext/>
      <w:keepLines/>
      <w:spacing w:after="120"/>
      <w:ind w:firstLine="0"/>
      <w:jc w:val="left"/>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1D10A6"/>
    <w:pPr>
      <w:keepNext/>
      <w:keepLines/>
      <w:spacing w:after="120"/>
      <w:ind w:firstLine="0"/>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DF78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78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A6"/>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1D10A6"/>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DF78B6"/>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DF78B6"/>
    <w:rPr>
      <w:rFonts w:asciiTheme="majorHAnsi" w:eastAsiaTheme="majorEastAsia" w:hAnsiTheme="majorHAnsi" w:cstheme="majorBidi"/>
      <w:b/>
      <w:bCs/>
      <w:i/>
      <w:iCs/>
      <w:color w:val="4F81BD" w:themeColor="accent1"/>
      <w:sz w:val="24"/>
    </w:rPr>
  </w:style>
  <w:style w:type="character" w:styleId="CommentReference">
    <w:name w:val="annotation reference"/>
    <w:basedOn w:val="DefaultParagraphFont"/>
    <w:uiPriority w:val="99"/>
    <w:semiHidden/>
    <w:unhideWhenUsed/>
    <w:rsid w:val="00DF78B6"/>
    <w:rPr>
      <w:sz w:val="16"/>
      <w:szCs w:val="16"/>
    </w:rPr>
  </w:style>
  <w:style w:type="paragraph" w:styleId="CommentText">
    <w:name w:val="annotation text"/>
    <w:basedOn w:val="Normal"/>
    <w:link w:val="CommentTextChar"/>
    <w:uiPriority w:val="99"/>
    <w:unhideWhenUsed/>
    <w:rsid w:val="00DF78B6"/>
    <w:pPr>
      <w:spacing w:line="240" w:lineRule="auto"/>
    </w:pPr>
    <w:rPr>
      <w:sz w:val="20"/>
      <w:szCs w:val="20"/>
    </w:rPr>
  </w:style>
  <w:style w:type="character" w:customStyle="1" w:styleId="CommentTextChar">
    <w:name w:val="Comment Text Char"/>
    <w:basedOn w:val="DefaultParagraphFont"/>
    <w:link w:val="CommentText"/>
    <w:uiPriority w:val="99"/>
    <w:rsid w:val="00DF78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F78B6"/>
    <w:rPr>
      <w:b/>
      <w:bCs/>
    </w:rPr>
  </w:style>
  <w:style w:type="character" w:customStyle="1" w:styleId="CommentSubjectChar">
    <w:name w:val="Comment Subject Char"/>
    <w:basedOn w:val="CommentTextChar"/>
    <w:link w:val="CommentSubject"/>
    <w:uiPriority w:val="99"/>
    <w:semiHidden/>
    <w:rsid w:val="00DF78B6"/>
    <w:rPr>
      <w:rFonts w:ascii="Times New Roman" w:hAnsi="Times New Roman"/>
      <w:b/>
      <w:bCs/>
      <w:sz w:val="20"/>
      <w:szCs w:val="20"/>
    </w:rPr>
  </w:style>
  <w:style w:type="paragraph" w:styleId="BalloonText">
    <w:name w:val="Balloon Text"/>
    <w:basedOn w:val="Normal"/>
    <w:link w:val="BalloonTextChar"/>
    <w:uiPriority w:val="99"/>
    <w:semiHidden/>
    <w:unhideWhenUsed/>
    <w:rsid w:val="00DF78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8B6"/>
    <w:rPr>
      <w:rFonts w:ascii="Tahoma" w:hAnsi="Tahoma" w:cs="Tahoma"/>
      <w:sz w:val="16"/>
      <w:szCs w:val="16"/>
    </w:rPr>
  </w:style>
  <w:style w:type="paragraph" w:styleId="FootnoteText">
    <w:name w:val="footnote text"/>
    <w:basedOn w:val="Normal"/>
    <w:link w:val="FootnoteTextChar"/>
    <w:uiPriority w:val="99"/>
    <w:unhideWhenUsed/>
    <w:rsid w:val="00F842EC"/>
    <w:pPr>
      <w:spacing w:line="240" w:lineRule="auto"/>
    </w:pPr>
    <w:rPr>
      <w:sz w:val="20"/>
      <w:szCs w:val="20"/>
    </w:rPr>
  </w:style>
  <w:style w:type="character" w:customStyle="1" w:styleId="FootnoteTextChar">
    <w:name w:val="Footnote Text Char"/>
    <w:basedOn w:val="DefaultParagraphFont"/>
    <w:link w:val="FootnoteText"/>
    <w:uiPriority w:val="99"/>
    <w:rsid w:val="00F842EC"/>
    <w:rPr>
      <w:rFonts w:ascii="Times New Roman" w:hAnsi="Times New Roman"/>
      <w:sz w:val="20"/>
      <w:szCs w:val="20"/>
    </w:rPr>
  </w:style>
  <w:style w:type="character" w:styleId="FootnoteReference">
    <w:name w:val="footnote reference"/>
    <w:basedOn w:val="DefaultParagraphFont"/>
    <w:uiPriority w:val="99"/>
    <w:unhideWhenUsed/>
    <w:rsid w:val="00D70C5C"/>
    <w:rPr>
      <w:vertAlign w:val="superscript"/>
    </w:rPr>
  </w:style>
  <w:style w:type="paragraph" w:styleId="Bibliography">
    <w:name w:val="Bibliography"/>
    <w:basedOn w:val="Normal"/>
    <w:next w:val="Normal"/>
    <w:uiPriority w:val="37"/>
    <w:unhideWhenUsed/>
    <w:rsid w:val="00CC2EB4"/>
    <w:pPr>
      <w:spacing w:after="240" w:line="240" w:lineRule="auto"/>
      <w:ind w:left="720" w:hanging="720"/>
    </w:pPr>
  </w:style>
  <w:style w:type="paragraph" w:styleId="ListParagraph">
    <w:name w:val="List Paragraph"/>
    <w:basedOn w:val="Normal"/>
    <w:uiPriority w:val="34"/>
    <w:qFormat/>
    <w:rsid w:val="00E74850"/>
    <w:pPr>
      <w:ind w:left="720"/>
      <w:contextualSpacing/>
    </w:pPr>
  </w:style>
  <w:style w:type="paragraph" w:styleId="Caption">
    <w:name w:val="caption"/>
    <w:basedOn w:val="Normal"/>
    <w:next w:val="Normal"/>
    <w:uiPriority w:val="35"/>
    <w:unhideWhenUsed/>
    <w:qFormat/>
    <w:rsid w:val="003414C1"/>
    <w:pPr>
      <w:spacing w:line="240" w:lineRule="auto"/>
      <w:ind w:firstLine="0"/>
      <w:jc w:val="center"/>
    </w:pPr>
    <w:rPr>
      <w:bCs/>
      <w:caps/>
      <w:color w:val="000000" w:themeColor="text1"/>
      <w:szCs w:val="18"/>
    </w:rPr>
  </w:style>
  <w:style w:type="paragraph" w:styleId="NormalWeb">
    <w:name w:val="Normal (Web)"/>
    <w:basedOn w:val="Normal"/>
    <w:uiPriority w:val="99"/>
    <w:unhideWhenUsed/>
    <w:rsid w:val="00D10797"/>
    <w:pPr>
      <w:spacing w:before="100" w:beforeAutospacing="1" w:after="100" w:afterAutospacing="1" w:line="240" w:lineRule="auto"/>
      <w:ind w:firstLine="0"/>
      <w:jc w:val="left"/>
    </w:pPr>
    <w:rPr>
      <w:rFonts w:eastAsia="Times New Roman" w:cs="Times New Roman"/>
      <w:szCs w:val="24"/>
      <w:lang w:eastAsia="ru-RU"/>
    </w:rPr>
  </w:style>
  <w:style w:type="table" w:styleId="TableGrid">
    <w:name w:val="Table Grid"/>
    <w:basedOn w:val="TableNormal"/>
    <w:uiPriority w:val="59"/>
    <w:rsid w:val="009E7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2557"/>
    <w:pPr>
      <w:tabs>
        <w:tab w:val="center" w:pos="4677"/>
        <w:tab w:val="right" w:pos="9355"/>
      </w:tabs>
      <w:spacing w:line="240" w:lineRule="auto"/>
    </w:pPr>
  </w:style>
  <w:style w:type="character" w:customStyle="1" w:styleId="HeaderChar">
    <w:name w:val="Header Char"/>
    <w:basedOn w:val="DefaultParagraphFont"/>
    <w:link w:val="Header"/>
    <w:uiPriority w:val="99"/>
    <w:rsid w:val="00D42557"/>
    <w:rPr>
      <w:rFonts w:ascii="Times New Roman" w:hAnsi="Times New Roman"/>
      <w:sz w:val="24"/>
    </w:rPr>
  </w:style>
  <w:style w:type="paragraph" w:styleId="Footer">
    <w:name w:val="footer"/>
    <w:basedOn w:val="Normal"/>
    <w:link w:val="FooterChar"/>
    <w:uiPriority w:val="99"/>
    <w:unhideWhenUsed/>
    <w:rsid w:val="00D42557"/>
    <w:pPr>
      <w:tabs>
        <w:tab w:val="center" w:pos="4677"/>
        <w:tab w:val="right" w:pos="9355"/>
      </w:tabs>
      <w:spacing w:line="240" w:lineRule="auto"/>
    </w:pPr>
  </w:style>
  <w:style w:type="character" w:customStyle="1" w:styleId="FooterChar">
    <w:name w:val="Footer Char"/>
    <w:basedOn w:val="DefaultParagraphFont"/>
    <w:link w:val="Footer"/>
    <w:uiPriority w:val="99"/>
    <w:rsid w:val="00D42557"/>
    <w:rPr>
      <w:rFonts w:ascii="Times New Roman" w:hAnsi="Times New Roman"/>
      <w:sz w:val="24"/>
    </w:rPr>
  </w:style>
  <w:style w:type="character" w:styleId="Hyperlink">
    <w:name w:val="Hyperlink"/>
    <w:basedOn w:val="DefaultParagraphFont"/>
    <w:uiPriority w:val="99"/>
    <w:unhideWhenUsed/>
    <w:rsid w:val="009F28F5"/>
    <w:rPr>
      <w:color w:val="0000FF" w:themeColor="hyperlink"/>
      <w:u w:val="single"/>
    </w:rPr>
  </w:style>
  <w:style w:type="character" w:styleId="EndnoteReference">
    <w:name w:val="endnote reference"/>
    <w:basedOn w:val="DefaultParagraphFont"/>
    <w:uiPriority w:val="99"/>
    <w:semiHidden/>
    <w:unhideWhenUsed/>
    <w:rsid w:val="004155B7"/>
    <w:rPr>
      <w:vertAlign w:val="superscript"/>
    </w:rPr>
  </w:style>
  <w:style w:type="paragraph" w:styleId="Revision">
    <w:name w:val="Revision"/>
    <w:hidden/>
    <w:uiPriority w:val="99"/>
    <w:semiHidden/>
    <w:rsid w:val="00142421"/>
    <w:pPr>
      <w:spacing w:after="0" w:line="240" w:lineRule="auto"/>
    </w:pPr>
    <w:rPr>
      <w:rFonts w:ascii="Times New Roman" w:hAnsi="Times New Roman"/>
      <w:sz w:val="24"/>
    </w:rPr>
  </w:style>
  <w:style w:type="paragraph" w:styleId="EndnoteText">
    <w:name w:val="endnote text"/>
    <w:basedOn w:val="Normal"/>
    <w:link w:val="EndnoteTextChar"/>
    <w:uiPriority w:val="99"/>
    <w:unhideWhenUsed/>
    <w:rsid w:val="000F29E8"/>
    <w:rPr>
      <w:szCs w:val="20"/>
    </w:rPr>
  </w:style>
  <w:style w:type="character" w:customStyle="1" w:styleId="EndnoteTextChar">
    <w:name w:val="Endnote Text Char"/>
    <w:basedOn w:val="DefaultParagraphFont"/>
    <w:link w:val="EndnoteText"/>
    <w:uiPriority w:val="99"/>
    <w:rsid w:val="000F29E8"/>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AB8"/>
    <w:pPr>
      <w:spacing w:after="0" w:line="480" w:lineRule="auto"/>
      <w:ind w:firstLine="709"/>
      <w:jc w:val="both"/>
    </w:pPr>
    <w:rPr>
      <w:rFonts w:ascii="Times New Roman" w:hAnsi="Times New Roman"/>
      <w:sz w:val="24"/>
    </w:rPr>
  </w:style>
  <w:style w:type="paragraph" w:styleId="Heading1">
    <w:name w:val="heading 1"/>
    <w:basedOn w:val="Normal"/>
    <w:next w:val="Normal"/>
    <w:link w:val="Heading1Char"/>
    <w:uiPriority w:val="9"/>
    <w:qFormat/>
    <w:rsid w:val="001D10A6"/>
    <w:pPr>
      <w:keepNext/>
      <w:keepLines/>
      <w:spacing w:after="120"/>
      <w:ind w:firstLine="0"/>
      <w:jc w:val="left"/>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1D10A6"/>
    <w:pPr>
      <w:keepNext/>
      <w:keepLines/>
      <w:spacing w:after="120"/>
      <w:ind w:firstLine="0"/>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DF78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78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A6"/>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1D10A6"/>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DF78B6"/>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DF78B6"/>
    <w:rPr>
      <w:rFonts w:asciiTheme="majorHAnsi" w:eastAsiaTheme="majorEastAsia" w:hAnsiTheme="majorHAnsi" w:cstheme="majorBidi"/>
      <w:b/>
      <w:bCs/>
      <w:i/>
      <w:iCs/>
      <w:color w:val="4F81BD" w:themeColor="accent1"/>
      <w:sz w:val="24"/>
    </w:rPr>
  </w:style>
  <w:style w:type="character" w:styleId="CommentReference">
    <w:name w:val="annotation reference"/>
    <w:basedOn w:val="DefaultParagraphFont"/>
    <w:uiPriority w:val="99"/>
    <w:semiHidden/>
    <w:unhideWhenUsed/>
    <w:rsid w:val="00DF78B6"/>
    <w:rPr>
      <w:sz w:val="16"/>
      <w:szCs w:val="16"/>
    </w:rPr>
  </w:style>
  <w:style w:type="paragraph" w:styleId="CommentText">
    <w:name w:val="annotation text"/>
    <w:basedOn w:val="Normal"/>
    <w:link w:val="CommentTextChar"/>
    <w:uiPriority w:val="99"/>
    <w:unhideWhenUsed/>
    <w:rsid w:val="00DF78B6"/>
    <w:pPr>
      <w:spacing w:line="240" w:lineRule="auto"/>
    </w:pPr>
    <w:rPr>
      <w:sz w:val="20"/>
      <w:szCs w:val="20"/>
    </w:rPr>
  </w:style>
  <w:style w:type="character" w:customStyle="1" w:styleId="CommentTextChar">
    <w:name w:val="Comment Text Char"/>
    <w:basedOn w:val="DefaultParagraphFont"/>
    <w:link w:val="CommentText"/>
    <w:uiPriority w:val="99"/>
    <w:rsid w:val="00DF78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F78B6"/>
    <w:rPr>
      <w:b/>
      <w:bCs/>
    </w:rPr>
  </w:style>
  <w:style w:type="character" w:customStyle="1" w:styleId="CommentSubjectChar">
    <w:name w:val="Comment Subject Char"/>
    <w:basedOn w:val="CommentTextChar"/>
    <w:link w:val="CommentSubject"/>
    <w:uiPriority w:val="99"/>
    <w:semiHidden/>
    <w:rsid w:val="00DF78B6"/>
    <w:rPr>
      <w:rFonts w:ascii="Times New Roman" w:hAnsi="Times New Roman"/>
      <w:b/>
      <w:bCs/>
      <w:sz w:val="20"/>
      <w:szCs w:val="20"/>
    </w:rPr>
  </w:style>
  <w:style w:type="paragraph" w:styleId="BalloonText">
    <w:name w:val="Balloon Text"/>
    <w:basedOn w:val="Normal"/>
    <w:link w:val="BalloonTextChar"/>
    <w:uiPriority w:val="99"/>
    <w:semiHidden/>
    <w:unhideWhenUsed/>
    <w:rsid w:val="00DF78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8B6"/>
    <w:rPr>
      <w:rFonts w:ascii="Tahoma" w:hAnsi="Tahoma" w:cs="Tahoma"/>
      <w:sz w:val="16"/>
      <w:szCs w:val="16"/>
    </w:rPr>
  </w:style>
  <w:style w:type="paragraph" w:styleId="FootnoteText">
    <w:name w:val="footnote text"/>
    <w:basedOn w:val="Normal"/>
    <w:link w:val="FootnoteTextChar"/>
    <w:uiPriority w:val="99"/>
    <w:unhideWhenUsed/>
    <w:rsid w:val="00F842EC"/>
    <w:pPr>
      <w:spacing w:line="240" w:lineRule="auto"/>
    </w:pPr>
    <w:rPr>
      <w:sz w:val="20"/>
      <w:szCs w:val="20"/>
    </w:rPr>
  </w:style>
  <w:style w:type="character" w:customStyle="1" w:styleId="FootnoteTextChar">
    <w:name w:val="Footnote Text Char"/>
    <w:basedOn w:val="DefaultParagraphFont"/>
    <w:link w:val="FootnoteText"/>
    <w:uiPriority w:val="99"/>
    <w:rsid w:val="00F842EC"/>
    <w:rPr>
      <w:rFonts w:ascii="Times New Roman" w:hAnsi="Times New Roman"/>
      <w:sz w:val="20"/>
      <w:szCs w:val="20"/>
    </w:rPr>
  </w:style>
  <w:style w:type="character" w:styleId="FootnoteReference">
    <w:name w:val="footnote reference"/>
    <w:basedOn w:val="DefaultParagraphFont"/>
    <w:uiPriority w:val="99"/>
    <w:unhideWhenUsed/>
    <w:rsid w:val="00D70C5C"/>
    <w:rPr>
      <w:vertAlign w:val="superscript"/>
    </w:rPr>
  </w:style>
  <w:style w:type="paragraph" w:styleId="Bibliography">
    <w:name w:val="Bibliography"/>
    <w:basedOn w:val="Normal"/>
    <w:next w:val="Normal"/>
    <w:uiPriority w:val="37"/>
    <w:unhideWhenUsed/>
    <w:rsid w:val="00CC2EB4"/>
    <w:pPr>
      <w:spacing w:after="240" w:line="240" w:lineRule="auto"/>
      <w:ind w:left="720" w:hanging="720"/>
    </w:pPr>
  </w:style>
  <w:style w:type="paragraph" w:styleId="ListParagraph">
    <w:name w:val="List Paragraph"/>
    <w:basedOn w:val="Normal"/>
    <w:uiPriority w:val="34"/>
    <w:qFormat/>
    <w:rsid w:val="00E74850"/>
    <w:pPr>
      <w:ind w:left="720"/>
      <w:contextualSpacing/>
    </w:pPr>
  </w:style>
  <w:style w:type="paragraph" w:styleId="Caption">
    <w:name w:val="caption"/>
    <w:basedOn w:val="Normal"/>
    <w:next w:val="Normal"/>
    <w:uiPriority w:val="35"/>
    <w:unhideWhenUsed/>
    <w:qFormat/>
    <w:rsid w:val="003414C1"/>
    <w:pPr>
      <w:spacing w:line="240" w:lineRule="auto"/>
      <w:ind w:firstLine="0"/>
      <w:jc w:val="center"/>
    </w:pPr>
    <w:rPr>
      <w:bCs/>
      <w:caps/>
      <w:color w:val="000000" w:themeColor="text1"/>
      <w:szCs w:val="18"/>
    </w:rPr>
  </w:style>
  <w:style w:type="paragraph" w:styleId="NormalWeb">
    <w:name w:val="Normal (Web)"/>
    <w:basedOn w:val="Normal"/>
    <w:uiPriority w:val="99"/>
    <w:unhideWhenUsed/>
    <w:rsid w:val="00D10797"/>
    <w:pPr>
      <w:spacing w:before="100" w:beforeAutospacing="1" w:after="100" w:afterAutospacing="1" w:line="240" w:lineRule="auto"/>
      <w:ind w:firstLine="0"/>
      <w:jc w:val="left"/>
    </w:pPr>
    <w:rPr>
      <w:rFonts w:eastAsia="Times New Roman" w:cs="Times New Roman"/>
      <w:szCs w:val="24"/>
      <w:lang w:eastAsia="ru-RU"/>
    </w:rPr>
  </w:style>
  <w:style w:type="table" w:styleId="TableGrid">
    <w:name w:val="Table Grid"/>
    <w:basedOn w:val="TableNormal"/>
    <w:uiPriority w:val="59"/>
    <w:rsid w:val="009E7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2557"/>
    <w:pPr>
      <w:tabs>
        <w:tab w:val="center" w:pos="4677"/>
        <w:tab w:val="right" w:pos="9355"/>
      </w:tabs>
      <w:spacing w:line="240" w:lineRule="auto"/>
    </w:pPr>
  </w:style>
  <w:style w:type="character" w:customStyle="1" w:styleId="HeaderChar">
    <w:name w:val="Header Char"/>
    <w:basedOn w:val="DefaultParagraphFont"/>
    <w:link w:val="Header"/>
    <w:uiPriority w:val="99"/>
    <w:rsid w:val="00D42557"/>
    <w:rPr>
      <w:rFonts w:ascii="Times New Roman" w:hAnsi="Times New Roman"/>
      <w:sz w:val="24"/>
    </w:rPr>
  </w:style>
  <w:style w:type="paragraph" w:styleId="Footer">
    <w:name w:val="footer"/>
    <w:basedOn w:val="Normal"/>
    <w:link w:val="FooterChar"/>
    <w:uiPriority w:val="99"/>
    <w:unhideWhenUsed/>
    <w:rsid w:val="00D42557"/>
    <w:pPr>
      <w:tabs>
        <w:tab w:val="center" w:pos="4677"/>
        <w:tab w:val="right" w:pos="9355"/>
      </w:tabs>
      <w:spacing w:line="240" w:lineRule="auto"/>
    </w:pPr>
  </w:style>
  <w:style w:type="character" w:customStyle="1" w:styleId="FooterChar">
    <w:name w:val="Footer Char"/>
    <w:basedOn w:val="DefaultParagraphFont"/>
    <w:link w:val="Footer"/>
    <w:uiPriority w:val="99"/>
    <w:rsid w:val="00D42557"/>
    <w:rPr>
      <w:rFonts w:ascii="Times New Roman" w:hAnsi="Times New Roman"/>
      <w:sz w:val="24"/>
    </w:rPr>
  </w:style>
  <w:style w:type="character" w:styleId="Hyperlink">
    <w:name w:val="Hyperlink"/>
    <w:basedOn w:val="DefaultParagraphFont"/>
    <w:uiPriority w:val="99"/>
    <w:unhideWhenUsed/>
    <w:rsid w:val="009F28F5"/>
    <w:rPr>
      <w:color w:val="0000FF" w:themeColor="hyperlink"/>
      <w:u w:val="single"/>
    </w:rPr>
  </w:style>
  <w:style w:type="character" w:styleId="EndnoteReference">
    <w:name w:val="endnote reference"/>
    <w:basedOn w:val="DefaultParagraphFont"/>
    <w:uiPriority w:val="99"/>
    <w:semiHidden/>
    <w:unhideWhenUsed/>
    <w:rsid w:val="004155B7"/>
    <w:rPr>
      <w:vertAlign w:val="superscript"/>
    </w:rPr>
  </w:style>
  <w:style w:type="paragraph" w:styleId="Revision">
    <w:name w:val="Revision"/>
    <w:hidden/>
    <w:uiPriority w:val="99"/>
    <w:semiHidden/>
    <w:rsid w:val="00142421"/>
    <w:pPr>
      <w:spacing w:after="0" w:line="240" w:lineRule="auto"/>
    </w:pPr>
    <w:rPr>
      <w:rFonts w:ascii="Times New Roman" w:hAnsi="Times New Roman"/>
      <w:sz w:val="24"/>
    </w:rPr>
  </w:style>
  <w:style w:type="paragraph" w:styleId="EndnoteText">
    <w:name w:val="endnote text"/>
    <w:basedOn w:val="Normal"/>
    <w:link w:val="EndnoteTextChar"/>
    <w:uiPriority w:val="99"/>
    <w:unhideWhenUsed/>
    <w:rsid w:val="000F29E8"/>
    <w:rPr>
      <w:szCs w:val="20"/>
    </w:rPr>
  </w:style>
  <w:style w:type="character" w:customStyle="1" w:styleId="EndnoteTextChar">
    <w:name w:val="Endnote Text Char"/>
    <w:basedOn w:val="DefaultParagraphFont"/>
    <w:link w:val="EndnoteText"/>
    <w:uiPriority w:val="99"/>
    <w:rsid w:val="000F29E8"/>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8556">
      <w:bodyDiv w:val="1"/>
      <w:marLeft w:val="0"/>
      <w:marRight w:val="0"/>
      <w:marTop w:val="0"/>
      <w:marBottom w:val="0"/>
      <w:divBdr>
        <w:top w:val="none" w:sz="0" w:space="0" w:color="auto"/>
        <w:left w:val="none" w:sz="0" w:space="0" w:color="auto"/>
        <w:bottom w:val="none" w:sz="0" w:space="0" w:color="auto"/>
        <w:right w:val="none" w:sz="0" w:space="0" w:color="auto"/>
      </w:divBdr>
      <w:divsChild>
        <w:div w:id="814831944">
          <w:marLeft w:val="446"/>
          <w:marRight w:val="0"/>
          <w:marTop w:val="0"/>
          <w:marBottom w:val="0"/>
          <w:divBdr>
            <w:top w:val="none" w:sz="0" w:space="0" w:color="auto"/>
            <w:left w:val="none" w:sz="0" w:space="0" w:color="auto"/>
            <w:bottom w:val="none" w:sz="0" w:space="0" w:color="auto"/>
            <w:right w:val="none" w:sz="0" w:space="0" w:color="auto"/>
          </w:divBdr>
        </w:div>
        <w:div w:id="871115566">
          <w:marLeft w:val="446"/>
          <w:marRight w:val="0"/>
          <w:marTop w:val="0"/>
          <w:marBottom w:val="0"/>
          <w:divBdr>
            <w:top w:val="none" w:sz="0" w:space="0" w:color="auto"/>
            <w:left w:val="none" w:sz="0" w:space="0" w:color="auto"/>
            <w:bottom w:val="none" w:sz="0" w:space="0" w:color="auto"/>
            <w:right w:val="none" w:sz="0" w:space="0" w:color="auto"/>
          </w:divBdr>
        </w:div>
        <w:div w:id="1215966238">
          <w:marLeft w:val="446"/>
          <w:marRight w:val="0"/>
          <w:marTop w:val="0"/>
          <w:marBottom w:val="0"/>
          <w:divBdr>
            <w:top w:val="none" w:sz="0" w:space="0" w:color="auto"/>
            <w:left w:val="none" w:sz="0" w:space="0" w:color="auto"/>
            <w:bottom w:val="none" w:sz="0" w:space="0" w:color="auto"/>
            <w:right w:val="none" w:sz="0" w:space="0" w:color="auto"/>
          </w:divBdr>
        </w:div>
      </w:divsChild>
    </w:div>
    <w:div w:id="239339141">
      <w:bodyDiv w:val="1"/>
      <w:marLeft w:val="0"/>
      <w:marRight w:val="0"/>
      <w:marTop w:val="0"/>
      <w:marBottom w:val="0"/>
      <w:divBdr>
        <w:top w:val="none" w:sz="0" w:space="0" w:color="auto"/>
        <w:left w:val="none" w:sz="0" w:space="0" w:color="auto"/>
        <w:bottom w:val="none" w:sz="0" w:space="0" w:color="auto"/>
        <w:right w:val="none" w:sz="0" w:space="0" w:color="auto"/>
      </w:divBdr>
      <w:divsChild>
        <w:div w:id="945579826">
          <w:marLeft w:val="547"/>
          <w:marRight w:val="0"/>
          <w:marTop w:val="0"/>
          <w:marBottom w:val="80"/>
          <w:divBdr>
            <w:top w:val="none" w:sz="0" w:space="0" w:color="auto"/>
            <w:left w:val="none" w:sz="0" w:space="0" w:color="auto"/>
            <w:bottom w:val="none" w:sz="0" w:space="0" w:color="auto"/>
            <w:right w:val="none" w:sz="0" w:space="0" w:color="auto"/>
          </w:divBdr>
        </w:div>
        <w:div w:id="419715621">
          <w:marLeft w:val="1267"/>
          <w:marRight w:val="0"/>
          <w:marTop w:val="0"/>
          <w:marBottom w:val="0"/>
          <w:divBdr>
            <w:top w:val="none" w:sz="0" w:space="0" w:color="auto"/>
            <w:left w:val="none" w:sz="0" w:space="0" w:color="auto"/>
            <w:bottom w:val="none" w:sz="0" w:space="0" w:color="auto"/>
            <w:right w:val="none" w:sz="0" w:space="0" w:color="auto"/>
          </w:divBdr>
        </w:div>
        <w:div w:id="2060277463">
          <w:marLeft w:val="1267"/>
          <w:marRight w:val="0"/>
          <w:marTop w:val="0"/>
          <w:marBottom w:val="80"/>
          <w:divBdr>
            <w:top w:val="none" w:sz="0" w:space="0" w:color="auto"/>
            <w:left w:val="none" w:sz="0" w:space="0" w:color="auto"/>
            <w:bottom w:val="none" w:sz="0" w:space="0" w:color="auto"/>
            <w:right w:val="none" w:sz="0" w:space="0" w:color="auto"/>
          </w:divBdr>
        </w:div>
        <w:div w:id="1572471725">
          <w:marLeft w:val="547"/>
          <w:marRight w:val="0"/>
          <w:marTop w:val="0"/>
          <w:marBottom w:val="80"/>
          <w:divBdr>
            <w:top w:val="none" w:sz="0" w:space="0" w:color="auto"/>
            <w:left w:val="none" w:sz="0" w:space="0" w:color="auto"/>
            <w:bottom w:val="none" w:sz="0" w:space="0" w:color="auto"/>
            <w:right w:val="none" w:sz="0" w:space="0" w:color="auto"/>
          </w:divBdr>
        </w:div>
        <w:div w:id="202717070">
          <w:marLeft w:val="1267"/>
          <w:marRight w:val="0"/>
          <w:marTop w:val="0"/>
          <w:marBottom w:val="0"/>
          <w:divBdr>
            <w:top w:val="none" w:sz="0" w:space="0" w:color="auto"/>
            <w:left w:val="none" w:sz="0" w:space="0" w:color="auto"/>
            <w:bottom w:val="none" w:sz="0" w:space="0" w:color="auto"/>
            <w:right w:val="none" w:sz="0" w:space="0" w:color="auto"/>
          </w:divBdr>
        </w:div>
        <w:div w:id="1762488538">
          <w:marLeft w:val="1267"/>
          <w:marRight w:val="0"/>
          <w:marTop w:val="0"/>
          <w:marBottom w:val="0"/>
          <w:divBdr>
            <w:top w:val="none" w:sz="0" w:space="0" w:color="auto"/>
            <w:left w:val="none" w:sz="0" w:space="0" w:color="auto"/>
            <w:bottom w:val="none" w:sz="0" w:space="0" w:color="auto"/>
            <w:right w:val="none" w:sz="0" w:space="0" w:color="auto"/>
          </w:divBdr>
        </w:div>
        <w:div w:id="1567104870">
          <w:marLeft w:val="1267"/>
          <w:marRight w:val="0"/>
          <w:marTop w:val="0"/>
          <w:marBottom w:val="80"/>
          <w:divBdr>
            <w:top w:val="none" w:sz="0" w:space="0" w:color="auto"/>
            <w:left w:val="none" w:sz="0" w:space="0" w:color="auto"/>
            <w:bottom w:val="none" w:sz="0" w:space="0" w:color="auto"/>
            <w:right w:val="none" w:sz="0" w:space="0" w:color="auto"/>
          </w:divBdr>
        </w:div>
      </w:divsChild>
    </w:div>
    <w:div w:id="263419786">
      <w:bodyDiv w:val="1"/>
      <w:marLeft w:val="0"/>
      <w:marRight w:val="0"/>
      <w:marTop w:val="0"/>
      <w:marBottom w:val="0"/>
      <w:divBdr>
        <w:top w:val="none" w:sz="0" w:space="0" w:color="auto"/>
        <w:left w:val="none" w:sz="0" w:space="0" w:color="auto"/>
        <w:bottom w:val="none" w:sz="0" w:space="0" w:color="auto"/>
        <w:right w:val="none" w:sz="0" w:space="0" w:color="auto"/>
      </w:divBdr>
    </w:div>
    <w:div w:id="308243232">
      <w:bodyDiv w:val="1"/>
      <w:marLeft w:val="0"/>
      <w:marRight w:val="0"/>
      <w:marTop w:val="0"/>
      <w:marBottom w:val="0"/>
      <w:divBdr>
        <w:top w:val="none" w:sz="0" w:space="0" w:color="auto"/>
        <w:left w:val="none" w:sz="0" w:space="0" w:color="auto"/>
        <w:bottom w:val="none" w:sz="0" w:space="0" w:color="auto"/>
        <w:right w:val="none" w:sz="0" w:space="0" w:color="auto"/>
      </w:divBdr>
    </w:div>
    <w:div w:id="336543913">
      <w:bodyDiv w:val="1"/>
      <w:marLeft w:val="0"/>
      <w:marRight w:val="0"/>
      <w:marTop w:val="0"/>
      <w:marBottom w:val="0"/>
      <w:divBdr>
        <w:top w:val="none" w:sz="0" w:space="0" w:color="auto"/>
        <w:left w:val="none" w:sz="0" w:space="0" w:color="auto"/>
        <w:bottom w:val="none" w:sz="0" w:space="0" w:color="auto"/>
        <w:right w:val="none" w:sz="0" w:space="0" w:color="auto"/>
      </w:divBdr>
      <w:divsChild>
        <w:div w:id="556012305">
          <w:marLeft w:val="446"/>
          <w:marRight w:val="0"/>
          <w:marTop w:val="0"/>
          <w:marBottom w:val="120"/>
          <w:divBdr>
            <w:top w:val="none" w:sz="0" w:space="0" w:color="auto"/>
            <w:left w:val="none" w:sz="0" w:space="0" w:color="auto"/>
            <w:bottom w:val="none" w:sz="0" w:space="0" w:color="auto"/>
            <w:right w:val="none" w:sz="0" w:space="0" w:color="auto"/>
          </w:divBdr>
        </w:div>
        <w:div w:id="1678341321">
          <w:marLeft w:val="446"/>
          <w:marRight w:val="0"/>
          <w:marTop w:val="0"/>
          <w:marBottom w:val="120"/>
          <w:divBdr>
            <w:top w:val="none" w:sz="0" w:space="0" w:color="auto"/>
            <w:left w:val="none" w:sz="0" w:space="0" w:color="auto"/>
            <w:bottom w:val="none" w:sz="0" w:space="0" w:color="auto"/>
            <w:right w:val="none" w:sz="0" w:space="0" w:color="auto"/>
          </w:divBdr>
        </w:div>
        <w:div w:id="1472943330">
          <w:marLeft w:val="446"/>
          <w:marRight w:val="0"/>
          <w:marTop w:val="0"/>
          <w:marBottom w:val="120"/>
          <w:divBdr>
            <w:top w:val="none" w:sz="0" w:space="0" w:color="auto"/>
            <w:left w:val="none" w:sz="0" w:space="0" w:color="auto"/>
            <w:bottom w:val="none" w:sz="0" w:space="0" w:color="auto"/>
            <w:right w:val="none" w:sz="0" w:space="0" w:color="auto"/>
          </w:divBdr>
        </w:div>
      </w:divsChild>
    </w:div>
    <w:div w:id="348988176">
      <w:bodyDiv w:val="1"/>
      <w:marLeft w:val="0"/>
      <w:marRight w:val="0"/>
      <w:marTop w:val="0"/>
      <w:marBottom w:val="0"/>
      <w:divBdr>
        <w:top w:val="none" w:sz="0" w:space="0" w:color="auto"/>
        <w:left w:val="none" w:sz="0" w:space="0" w:color="auto"/>
        <w:bottom w:val="none" w:sz="0" w:space="0" w:color="auto"/>
        <w:right w:val="none" w:sz="0" w:space="0" w:color="auto"/>
      </w:divBdr>
    </w:div>
    <w:div w:id="377704050">
      <w:bodyDiv w:val="1"/>
      <w:marLeft w:val="0"/>
      <w:marRight w:val="0"/>
      <w:marTop w:val="0"/>
      <w:marBottom w:val="0"/>
      <w:divBdr>
        <w:top w:val="none" w:sz="0" w:space="0" w:color="auto"/>
        <w:left w:val="none" w:sz="0" w:space="0" w:color="auto"/>
        <w:bottom w:val="none" w:sz="0" w:space="0" w:color="auto"/>
        <w:right w:val="none" w:sz="0" w:space="0" w:color="auto"/>
      </w:divBdr>
    </w:div>
    <w:div w:id="379289387">
      <w:bodyDiv w:val="1"/>
      <w:marLeft w:val="0"/>
      <w:marRight w:val="0"/>
      <w:marTop w:val="0"/>
      <w:marBottom w:val="0"/>
      <w:divBdr>
        <w:top w:val="none" w:sz="0" w:space="0" w:color="auto"/>
        <w:left w:val="none" w:sz="0" w:space="0" w:color="auto"/>
        <w:bottom w:val="none" w:sz="0" w:space="0" w:color="auto"/>
        <w:right w:val="none" w:sz="0" w:space="0" w:color="auto"/>
      </w:divBdr>
      <w:divsChild>
        <w:div w:id="1540051013">
          <w:marLeft w:val="1166"/>
          <w:marRight w:val="0"/>
          <w:marTop w:val="0"/>
          <w:marBottom w:val="0"/>
          <w:divBdr>
            <w:top w:val="none" w:sz="0" w:space="0" w:color="auto"/>
            <w:left w:val="none" w:sz="0" w:space="0" w:color="auto"/>
            <w:bottom w:val="none" w:sz="0" w:space="0" w:color="auto"/>
            <w:right w:val="none" w:sz="0" w:space="0" w:color="auto"/>
          </w:divBdr>
        </w:div>
      </w:divsChild>
    </w:div>
    <w:div w:id="424424591">
      <w:bodyDiv w:val="1"/>
      <w:marLeft w:val="0"/>
      <w:marRight w:val="0"/>
      <w:marTop w:val="0"/>
      <w:marBottom w:val="0"/>
      <w:divBdr>
        <w:top w:val="none" w:sz="0" w:space="0" w:color="auto"/>
        <w:left w:val="none" w:sz="0" w:space="0" w:color="auto"/>
        <w:bottom w:val="none" w:sz="0" w:space="0" w:color="auto"/>
        <w:right w:val="none" w:sz="0" w:space="0" w:color="auto"/>
      </w:divBdr>
      <w:divsChild>
        <w:div w:id="1365715682">
          <w:marLeft w:val="446"/>
          <w:marRight w:val="0"/>
          <w:marTop w:val="0"/>
          <w:marBottom w:val="280"/>
          <w:divBdr>
            <w:top w:val="none" w:sz="0" w:space="0" w:color="auto"/>
            <w:left w:val="none" w:sz="0" w:space="0" w:color="auto"/>
            <w:bottom w:val="none" w:sz="0" w:space="0" w:color="auto"/>
            <w:right w:val="none" w:sz="0" w:space="0" w:color="auto"/>
          </w:divBdr>
        </w:div>
        <w:div w:id="1766421193">
          <w:marLeft w:val="446"/>
          <w:marRight w:val="0"/>
          <w:marTop w:val="0"/>
          <w:marBottom w:val="280"/>
          <w:divBdr>
            <w:top w:val="none" w:sz="0" w:space="0" w:color="auto"/>
            <w:left w:val="none" w:sz="0" w:space="0" w:color="auto"/>
            <w:bottom w:val="none" w:sz="0" w:space="0" w:color="auto"/>
            <w:right w:val="none" w:sz="0" w:space="0" w:color="auto"/>
          </w:divBdr>
        </w:div>
        <w:div w:id="1145707470">
          <w:marLeft w:val="446"/>
          <w:marRight w:val="0"/>
          <w:marTop w:val="0"/>
          <w:marBottom w:val="280"/>
          <w:divBdr>
            <w:top w:val="none" w:sz="0" w:space="0" w:color="auto"/>
            <w:left w:val="none" w:sz="0" w:space="0" w:color="auto"/>
            <w:bottom w:val="none" w:sz="0" w:space="0" w:color="auto"/>
            <w:right w:val="none" w:sz="0" w:space="0" w:color="auto"/>
          </w:divBdr>
        </w:div>
        <w:div w:id="1392388344">
          <w:marLeft w:val="1166"/>
          <w:marRight w:val="0"/>
          <w:marTop w:val="0"/>
          <w:marBottom w:val="280"/>
          <w:divBdr>
            <w:top w:val="none" w:sz="0" w:space="0" w:color="auto"/>
            <w:left w:val="none" w:sz="0" w:space="0" w:color="auto"/>
            <w:bottom w:val="none" w:sz="0" w:space="0" w:color="auto"/>
            <w:right w:val="none" w:sz="0" w:space="0" w:color="auto"/>
          </w:divBdr>
        </w:div>
        <w:div w:id="38631466">
          <w:marLeft w:val="1166"/>
          <w:marRight w:val="0"/>
          <w:marTop w:val="0"/>
          <w:marBottom w:val="280"/>
          <w:divBdr>
            <w:top w:val="none" w:sz="0" w:space="0" w:color="auto"/>
            <w:left w:val="none" w:sz="0" w:space="0" w:color="auto"/>
            <w:bottom w:val="none" w:sz="0" w:space="0" w:color="auto"/>
            <w:right w:val="none" w:sz="0" w:space="0" w:color="auto"/>
          </w:divBdr>
        </w:div>
      </w:divsChild>
    </w:div>
    <w:div w:id="508061997">
      <w:bodyDiv w:val="1"/>
      <w:marLeft w:val="0"/>
      <w:marRight w:val="0"/>
      <w:marTop w:val="0"/>
      <w:marBottom w:val="0"/>
      <w:divBdr>
        <w:top w:val="none" w:sz="0" w:space="0" w:color="auto"/>
        <w:left w:val="none" w:sz="0" w:space="0" w:color="auto"/>
        <w:bottom w:val="none" w:sz="0" w:space="0" w:color="auto"/>
        <w:right w:val="none" w:sz="0" w:space="0" w:color="auto"/>
      </w:divBdr>
    </w:div>
    <w:div w:id="536356141">
      <w:bodyDiv w:val="1"/>
      <w:marLeft w:val="0"/>
      <w:marRight w:val="0"/>
      <w:marTop w:val="0"/>
      <w:marBottom w:val="0"/>
      <w:divBdr>
        <w:top w:val="none" w:sz="0" w:space="0" w:color="auto"/>
        <w:left w:val="none" w:sz="0" w:space="0" w:color="auto"/>
        <w:bottom w:val="none" w:sz="0" w:space="0" w:color="auto"/>
        <w:right w:val="none" w:sz="0" w:space="0" w:color="auto"/>
      </w:divBdr>
      <w:divsChild>
        <w:div w:id="1484464623">
          <w:marLeft w:val="547"/>
          <w:marRight w:val="0"/>
          <w:marTop w:val="0"/>
          <w:marBottom w:val="320"/>
          <w:divBdr>
            <w:top w:val="none" w:sz="0" w:space="0" w:color="auto"/>
            <w:left w:val="none" w:sz="0" w:space="0" w:color="auto"/>
            <w:bottom w:val="none" w:sz="0" w:space="0" w:color="auto"/>
            <w:right w:val="none" w:sz="0" w:space="0" w:color="auto"/>
          </w:divBdr>
        </w:div>
        <w:div w:id="394789168">
          <w:marLeft w:val="547"/>
          <w:marRight w:val="0"/>
          <w:marTop w:val="0"/>
          <w:marBottom w:val="320"/>
          <w:divBdr>
            <w:top w:val="none" w:sz="0" w:space="0" w:color="auto"/>
            <w:left w:val="none" w:sz="0" w:space="0" w:color="auto"/>
            <w:bottom w:val="none" w:sz="0" w:space="0" w:color="auto"/>
            <w:right w:val="none" w:sz="0" w:space="0" w:color="auto"/>
          </w:divBdr>
        </w:div>
        <w:div w:id="413818027">
          <w:marLeft w:val="547"/>
          <w:marRight w:val="0"/>
          <w:marTop w:val="0"/>
          <w:marBottom w:val="320"/>
          <w:divBdr>
            <w:top w:val="none" w:sz="0" w:space="0" w:color="auto"/>
            <w:left w:val="none" w:sz="0" w:space="0" w:color="auto"/>
            <w:bottom w:val="none" w:sz="0" w:space="0" w:color="auto"/>
            <w:right w:val="none" w:sz="0" w:space="0" w:color="auto"/>
          </w:divBdr>
        </w:div>
        <w:div w:id="1351222116">
          <w:marLeft w:val="1267"/>
          <w:marRight w:val="0"/>
          <w:marTop w:val="0"/>
          <w:marBottom w:val="320"/>
          <w:divBdr>
            <w:top w:val="none" w:sz="0" w:space="0" w:color="auto"/>
            <w:left w:val="none" w:sz="0" w:space="0" w:color="auto"/>
            <w:bottom w:val="none" w:sz="0" w:space="0" w:color="auto"/>
            <w:right w:val="none" w:sz="0" w:space="0" w:color="auto"/>
          </w:divBdr>
        </w:div>
      </w:divsChild>
    </w:div>
    <w:div w:id="550967054">
      <w:bodyDiv w:val="1"/>
      <w:marLeft w:val="0"/>
      <w:marRight w:val="0"/>
      <w:marTop w:val="0"/>
      <w:marBottom w:val="0"/>
      <w:divBdr>
        <w:top w:val="none" w:sz="0" w:space="0" w:color="auto"/>
        <w:left w:val="none" w:sz="0" w:space="0" w:color="auto"/>
        <w:bottom w:val="none" w:sz="0" w:space="0" w:color="auto"/>
        <w:right w:val="none" w:sz="0" w:space="0" w:color="auto"/>
      </w:divBdr>
      <w:divsChild>
        <w:div w:id="991181404">
          <w:marLeft w:val="1267"/>
          <w:marRight w:val="0"/>
          <w:marTop w:val="0"/>
          <w:marBottom w:val="0"/>
          <w:divBdr>
            <w:top w:val="none" w:sz="0" w:space="0" w:color="auto"/>
            <w:left w:val="none" w:sz="0" w:space="0" w:color="auto"/>
            <w:bottom w:val="none" w:sz="0" w:space="0" w:color="auto"/>
            <w:right w:val="none" w:sz="0" w:space="0" w:color="auto"/>
          </w:divBdr>
        </w:div>
        <w:div w:id="618226070">
          <w:marLeft w:val="1267"/>
          <w:marRight w:val="0"/>
          <w:marTop w:val="0"/>
          <w:marBottom w:val="0"/>
          <w:divBdr>
            <w:top w:val="none" w:sz="0" w:space="0" w:color="auto"/>
            <w:left w:val="none" w:sz="0" w:space="0" w:color="auto"/>
            <w:bottom w:val="none" w:sz="0" w:space="0" w:color="auto"/>
            <w:right w:val="none" w:sz="0" w:space="0" w:color="auto"/>
          </w:divBdr>
        </w:div>
        <w:div w:id="237911158">
          <w:marLeft w:val="1267"/>
          <w:marRight w:val="0"/>
          <w:marTop w:val="0"/>
          <w:marBottom w:val="0"/>
          <w:divBdr>
            <w:top w:val="none" w:sz="0" w:space="0" w:color="auto"/>
            <w:left w:val="none" w:sz="0" w:space="0" w:color="auto"/>
            <w:bottom w:val="none" w:sz="0" w:space="0" w:color="auto"/>
            <w:right w:val="none" w:sz="0" w:space="0" w:color="auto"/>
          </w:divBdr>
        </w:div>
      </w:divsChild>
    </w:div>
    <w:div w:id="560411375">
      <w:bodyDiv w:val="1"/>
      <w:marLeft w:val="0"/>
      <w:marRight w:val="0"/>
      <w:marTop w:val="0"/>
      <w:marBottom w:val="0"/>
      <w:divBdr>
        <w:top w:val="none" w:sz="0" w:space="0" w:color="auto"/>
        <w:left w:val="none" w:sz="0" w:space="0" w:color="auto"/>
        <w:bottom w:val="none" w:sz="0" w:space="0" w:color="auto"/>
        <w:right w:val="none" w:sz="0" w:space="0" w:color="auto"/>
      </w:divBdr>
    </w:div>
    <w:div w:id="565996912">
      <w:bodyDiv w:val="1"/>
      <w:marLeft w:val="0"/>
      <w:marRight w:val="0"/>
      <w:marTop w:val="0"/>
      <w:marBottom w:val="0"/>
      <w:divBdr>
        <w:top w:val="none" w:sz="0" w:space="0" w:color="auto"/>
        <w:left w:val="none" w:sz="0" w:space="0" w:color="auto"/>
        <w:bottom w:val="none" w:sz="0" w:space="0" w:color="auto"/>
        <w:right w:val="none" w:sz="0" w:space="0" w:color="auto"/>
      </w:divBdr>
    </w:div>
    <w:div w:id="624890479">
      <w:bodyDiv w:val="1"/>
      <w:marLeft w:val="0"/>
      <w:marRight w:val="0"/>
      <w:marTop w:val="0"/>
      <w:marBottom w:val="0"/>
      <w:divBdr>
        <w:top w:val="none" w:sz="0" w:space="0" w:color="auto"/>
        <w:left w:val="none" w:sz="0" w:space="0" w:color="auto"/>
        <w:bottom w:val="none" w:sz="0" w:space="0" w:color="auto"/>
        <w:right w:val="none" w:sz="0" w:space="0" w:color="auto"/>
      </w:divBdr>
    </w:div>
    <w:div w:id="851534993">
      <w:bodyDiv w:val="1"/>
      <w:marLeft w:val="0"/>
      <w:marRight w:val="0"/>
      <w:marTop w:val="0"/>
      <w:marBottom w:val="0"/>
      <w:divBdr>
        <w:top w:val="none" w:sz="0" w:space="0" w:color="auto"/>
        <w:left w:val="none" w:sz="0" w:space="0" w:color="auto"/>
        <w:bottom w:val="none" w:sz="0" w:space="0" w:color="auto"/>
        <w:right w:val="none" w:sz="0" w:space="0" w:color="auto"/>
      </w:divBdr>
      <w:divsChild>
        <w:div w:id="1296833397">
          <w:marLeft w:val="446"/>
          <w:marRight w:val="0"/>
          <w:marTop w:val="0"/>
          <w:marBottom w:val="0"/>
          <w:divBdr>
            <w:top w:val="none" w:sz="0" w:space="0" w:color="auto"/>
            <w:left w:val="none" w:sz="0" w:space="0" w:color="auto"/>
            <w:bottom w:val="none" w:sz="0" w:space="0" w:color="auto"/>
            <w:right w:val="none" w:sz="0" w:space="0" w:color="auto"/>
          </w:divBdr>
        </w:div>
        <w:div w:id="679893038">
          <w:marLeft w:val="1166"/>
          <w:marRight w:val="0"/>
          <w:marTop w:val="0"/>
          <w:marBottom w:val="0"/>
          <w:divBdr>
            <w:top w:val="none" w:sz="0" w:space="0" w:color="auto"/>
            <w:left w:val="none" w:sz="0" w:space="0" w:color="auto"/>
            <w:bottom w:val="none" w:sz="0" w:space="0" w:color="auto"/>
            <w:right w:val="none" w:sz="0" w:space="0" w:color="auto"/>
          </w:divBdr>
        </w:div>
        <w:div w:id="1606644909">
          <w:marLeft w:val="1166"/>
          <w:marRight w:val="0"/>
          <w:marTop w:val="0"/>
          <w:marBottom w:val="0"/>
          <w:divBdr>
            <w:top w:val="none" w:sz="0" w:space="0" w:color="auto"/>
            <w:left w:val="none" w:sz="0" w:space="0" w:color="auto"/>
            <w:bottom w:val="none" w:sz="0" w:space="0" w:color="auto"/>
            <w:right w:val="none" w:sz="0" w:space="0" w:color="auto"/>
          </w:divBdr>
        </w:div>
      </w:divsChild>
    </w:div>
    <w:div w:id="977412843">
      <w:bodyDiv w:val="1"/>
      <w:marLeft w:val="0"/>
      <w:marRight w:val="0"/>
      <w:marTop w:val="0"/>
      <w:marBottom w:val="0"/>
      <w:divBdr>
        <w:top w:val="none" w:sz="0" w:space="0" w:color="auto"/>
        <w:left w:val="none" w:sz="0" w:space="0" w:color="auto"/>
        <w:bottom w:val="none" w:sz="0" w:space="0" w:color="auto"/>
        <w:right w:val="none" w:sz="0" w:space="0" w:color="auto"/>
      </w:divBdr>
      <w:divsChild>
        <w:div w:id="515845198">
          <w:marLeft w:val="547"/>
          <w:marRight w:val="0"/>
          <w:marTop w:val="0"/>
          <w:marBottom w:val="120"/>
          <w:divBdr>
            <w:top w:val="none" w:sz="0" w:space="0" w:color="auto"/>
            <w:left w:val="none" w:sz="0" w:space="0" w:color="auto"/>
            <w:bottom w:val="none" w:sz="0" w:space="0" w:color="auto"/>
            <w:right w:val="none" w:sz="0" w:space="0" w:color="auto"/>
          </w:divBdr>
        </w:div>
        <w:div w:id="1686517825">
          <w:marLeft w:val="1267"/>
          <w:marRight w:val="0"/>
          <w:marTop w:val="0"/>
          <w:marBottom w:val="120"/>
          <w:divBdr>
            <w:top w:val="none" w:sz="0" w:space="0" w:color="auto"/>
            <w:left w:val="none" w:sz="0" w:space="0" w:color="auto"/>
            <w:bottom w:val="none" w:sz="0" w:space="0" w:color="auto"/>
            <w:right w:val="none" w:sz="0" w:space="0" w:color="auto"/>
          </w:divBdr>
        </w:div>
        <w:div w:id="1986422432">
          <w:marLeft w:val="547"/>
          <w:marRight w:val="0"/>
          <w:marTop w:val="0"/>
          <w:marBottom w:val="120"/>
          <w:divBdr>
            <w:top w:val="none" w:sz="0" w:space="0" w:color="auto"/>
            <w:left w:val="none" w:sz="0" w:space="0" w:color="auto"/>
            <w:bottom w:val="none" w:sz="0" w:space="0" w:color="auto"/>
            <w:right w:val="none" w:sz="0" w:space="0" w:color="auto"/>
          </w:divBdr>
        </w:div>
        <w:div w:id="360788280">
          <w:marLeft w:val="1267"/>
          <w:marRight w:val="0"/>
          <w:marTop w:val="0"/>
          <w:marBottom w:val="120"/>
          <w:divBdr>
            <w:top w:val="none" w:sz="0" w:space="0" w:color="auto"/>
            <w:left w:val="none" w:sz="0" w:space="0" w:color="auto"/>
            <w:bottom w:val="none" w:sz="0" w:space="0" w:color="auto"/>
            <w:right w:val="none" w:sz="0" w:space="0" w:color="auto"/>
          </w:divBdr>
        </w:div>
        <w:div w:id="2008287936">
          <w:marLeft w:val="446"/>
          <w:marRight w:val="0"/>
          <w:marTop w:val="0"/>
          <w:marBottom w:val="120"/>
          <w:divBdr>
            <w:top w:val="none" w:sz="0" w:space="0" w:color="auto"/>
            <w:left w:val="none" w:sz="0" w:space="0" w:color="auto"/>
            <w:bottom w:val="none" w:sz="0" w:space="0" w:color="auto"/>
            <w:right w:val="none" w:sz="0" w:space="0" w:color="auto"/>
          </w:divBdr>
        </w:div>
        <w:div w:id="1753618362">
          <w:marLeft w:val="1166"/>
          <w:marRight w:val="0"/>
          <w:marTop w:val="0"/>
          <w:marBottom w:val="120"/>
          <w:divBdr>
            <w:top w:val="none" w:sz="0" w:space="0" w:color="auto"/>
            <w:left w:val="none" w:sz="0" w:space="0" w:color="auto"/>
            <w:bottom w:val="none" w:sz="0" w:space="0" w:color="auto"/>
            <w:right w:val="none" w:sz="0" w:space="0" w:color="auto"/>
          </w:divBdr>
        </w:div>
      </w:divsChild>
    </w:div>
    <w:div w:id="1235048821">
      <w:bodyDiv w:val="1"/>
      <w:marLeft w:val="0"/>
      <w:marRight w:val="0"/>
      <w:marTop w:val="0"/>
      <w:marBottom w:val="0"/>
      <w:divBdr>
        <w:top w:val="none" w:sz="0" w:space="0" w:color="auto"/>
        <w:left w:val="none" w:sz="0" w:space="0" w:color="auto"/>
        <w:bottom w:val="none" w:sz="0" w:space="0" w:color="auto"/>
        <w:right w:val="none" w:sz="0" w:space="0" w:color="auto"/>
      </w:divBdr>
      <w:divsChild>
        <w:div w:id="422797770">
          <w:marLeft w:val="547"/>
          <w:marRight w:val="0"/>
          <w:marTop w:val="0"/>
          <w:marBottom w:val="120"/>
          <w:divBdr>
            <w:top w:val="none" w:sz="0" w:space="0" w:color="auto"/>
            <w:left w:val="none" w:sz="0" w:space="0" w:color="auto"/>
            <w:bottom w:val="none" w:sz="0" w:space="0" w:color="auto"/>
            <w:right w:val="none" w:sz="0" w:space="0" w:color="auto"/>
          </w:divBdr>
        </w:div>
        <w:div w:id="508758347">
          <w:marLeft w:val="1267"/>
          <w:marRight w:val="0"/>
          <w:marTop w:val="0"/>
          <w:marBottom w:val="120"/>
          <w:divBdr>
            <w:top w:val="none" w:sz="0" w:space="0" w:color="auto"/>
            <w:left w:val="none" w:sz="0" w:space="0" w:color="auto"/>
            <w:bottom w:val="none" w:sz="0" w:space="0" w:color="auto"/>
            <w:right w:val="none" w:sz="0" w:space="0" w:color="auto"/>
          </w:divBdr>
        </w:div>
        <w:div w:id="138428880">
          <w:marLeft w:val="547"/>
          <w:marRight w:val="0"/>
          <w:marTop w:val="0"/>
          <w:marBottom w:val="120"/>
          <w:divBdr>
            <w:top w:val="none" w:sz="0" w:space="0" w:color="auto"/>
            <w:left w:val="none" w:sz="0" w:space="0" w:color="auto"/>
            <w:bottom w:val="none" w:sz="0" w:space="0" w:color="auto"/>
            <w:right w:val="none" w:sz="0" w:space="0" w:color="auto"/>
          </w:divBdr>
        </w:div>
        <w:div w:id="1711488517">
          <w:marLeft w:val="1267"/>
          <w:marRight w:val="0"/>
          <w:marTop w:val="0"/>
          <w:marBottom w:val="120"/>
          <w:divBdr>
            <w:top w:val="none" w:sz="0" w:space="0" w:color="auto"/>
            <w:left w:val="none" w:sz="0" w:space="0" w:color="auto"/>
            <w:bottom w:val="none" w:sz="0" w:space="0" w:color="auto"/>
            <w:right w:val="none" w:sz="0" w:space="0" w:color="auto"/>
          </w:divBdr>
        </w:div>
        <w:div w:id="1750076951">
          <w:marLeft w:val="446"/>
          <w:marRight w:val="0"/>
          <w:marTop w:val="0"/>
          <w:marBottom w:val="120"/>
          <w:divBdr>
            <w:top w:val="none" w:sz="0" w:space="0" w:color="auto"/>
            <w:left w:val="none" w:sz="0" w:space="0" w:color="auto"/>
            <w:bottom w:val="none" w:sz="0" w:space="0" w:color="auto"/>
            <w:right w:val="none" w:sz="0" w:space="0" w:color="auto"/>
          </w:divBdr>
        </w:div>
        <w:div w:id="604114216">
          <w:marLeft w:val="1166"/>
          <w:marRight w:val="0"/>
          <w:marTop w:val="0"/>
          <w:marBottom w:val="120"/>
          <w:divBdr>
            <w:top w:val="none" w:sz="0" w:space="0" w:color="auto"/>
            <w:left w:val="none" w:sz="0" w:space="0" w:color="auto"/>
            <w:bottom w:val="none" w:sz="0" w:space="0" w:color="auto"/>
            <w:right w:val="none" w:sz="0" w:space="0" w:color="auto"/>
          </w:divBdr>
        </w:div>
      </w:divsChild>
    </w:div>
    <w:div w:id="1289049937">
      <w:bodyDiv w:val="1"/>
      <w:marLeft w:val="0"/>
      <w:marRight w:val="0"/>
      <w:marTop w:val="0"/>
      <w:marBottom w:val="0"/>
      <w:divBdr>
        <w:top w:val="none" w:sz="0" w:space="0" w:color="auto"/>
        <w:left w:val="none" w:sz="0" w:space="0" w:color="auto"/>
        <w:bottom w:val="none" w:sz="0" w:space="0" w:color="auto"/>
        <w:right w:val="none" w:sz="0" w:space="0" w:color="auto"/>
      </w:divBdr>
      <w:divsChild>
        <w:div w:id="603541919">
          <w:marLeft w:val="0"/>
          <w:marRight w:val="0"/>
          <w:marTop w:val="0"/>
          <w:marBottom w:val="0"/>
          <w:divBdr>
            <w:top w:val="none" w:sz="0" w:space="0" w:color="auto"/>
            <w:left w:val="none" w:sz="0" w:space="0" w:color="auto"/>
            <w:bottom w:val="none" w:sz="0" w:space="0" w:color="auto"/>
            <w:right w:val="none" w:sz="0" w:space="0" w:color="auto"/>
          </w:divBdr>
        </w:div>
        <w:div w:id="1925141372">
          <w:marLeft w:val="0"/>
          <w:marRight w:val="0"/>
          <w:marTop w:val="0"/>
          <w:marBottom w:val="0"/>
          <w:divBdr>
            <w:top w:val="none" w:sz="0" w:space="0" w:color="auto"/>
            <w:left w:val="none" w:sz="0" w:space="0" w:color="auto"/>
            <w:bottom w:val="none" w:sz="0" w:space="0" w:color="auto"/>
            <w:right w:val="none" w:sz="0" w:space="0" w:color="auto"/>
          </w:divBdr>
        </w:div>
        <w:div w:id="1575581371">
          <w:marLeft w:val="0"/>
          <w:marRight w:val="0"/>
          <w:marTop w:val="0"/>
          <w:marBottom w:val="0"/>
          <w:divBdr>
            <w:top w:val="none" w:sz="0" w:space="0" w:color="auto"/>
            <w:left w:val="none" w:sz="0" w:space="0" w:color="auto"/>
            <w:bottom w:val="none" w:sz="0" w:space="0" w:color="auto"/>
            <w:right w:val="none" w:sz="0" w:space="0" w:color="auto"/>
          </w:divBdr>
        </w:div>
        <w:div w:id="256984498">
          <w:marLeft w:val="0"/>
          <w:marRight w:val="0"/>
          <w:marTop w:val="0"/>
          <w:marBottom w:val="0"/>
          <w:divBdr>
            <w:top w:val="none" w:sz="0" w:space="0" w:color="auto"/>
            <w:left w:val="none" w:sz="0" w:space="0" w:color="auto"/>
            <w:bottom w:val="none" w:sz="0" w:space="0" w:color="auto"/>
            <w:right w:val="none" w:sz="0" w:space="0" w:color="auto"/>
          </w:divBdr>
        </w:div>
        <w:div w:id="1370644956">
          <w:marLeft w:val="0"/>
          <w:marRight w:val="0"/>
          <w:marTop w:val="0"/>
          <w:marBottom w:val="0"/>
          <w:divBdr>
            <w:top w:val="none" w:sz="0" w:space="0" w:color="auto"/>
            <w:left w:val="none" w:sz="0" w:space="0" w:color="auto"/>
            <w:bottom w:val="none" w:sz="0" w:space="0" w:color="auto"/>
            <w:right w:val="none" w:sz="0" w:space="0" w:color="auto"/>
          </w:divBdr>
        </w:div>
        <w:div w:id="1226068714">
          <w:marLeft w:val="0"/>
          <w:marRight w:val="0"/>
          <w:marTop w:val="0"/>
          <w:marBottom w:val="0"/>
          <w:divBdr>
            <w:top w:val="none" w:sz="0" w:space="0" w:color="auto"/>
            <w:left w:val="none" w:sz="0" w:space="0" w:color="auto"/>
            <w:bottom w:val="none" w:sz="0" w:space="0" w:color="auto"/>
            <w:right w:val="none" w:sz="0" w:space="0" w:color="auto"/>
          </w:divBdr>
        </w:div>
        <w:div w:id="2011637773">
          <w:marLeft w:val="0"/>
          <w:marRight w:val="0"/>
          <w:marTop w:val="0"/>
          <w:marBottom w:val="0"/>
          <w:divBdr>
            <w:top w:val="none" w:sz="0" w:space="0" w:color="auto"/>
            <w:left w:val="none" w:sz="0" w:space="0" w:color="auto"/>
            <w:bottom w:val="none" w:sz="0" w:space="0" w:color="auto"/>
            <w:right w:val="none" w:sz="0" w:space="0" w:color="auto"/>
          </w:divBdr>
        </w:div>
        <w:div w:id="188225290">
          <w:marLeft w:val="0"/>
          <w:marRight w:val="0"/>
          <w:marTop w:val="0"/>
          <w:marBottom w:val="0"/>
          <w:divBdr>
            <w:top w:val="none" w:sz="0" w:space="0" w:color="auto"/>
            <w:left w:val="none" w:sz="0" w:space="0" w:color="auto"/>
            <w:bottom w:val="none" w:sz="0" w:space="0" w:color="auto"/>
            <w:right w:val="none" w:sz="0" w:space="0" w:color="auto"/>
          </w:divBdr>
        </w:div>
        <w:div w:id="1905725579">
          <w:marLeft w:val="0"/>
          <w:marRight w:val="0"/>
          <w:marTop w:val="0"/>
          <w:marBottom w:val="0"/>
          <w:divBdr>
            <w:top w:val="none" w:sz="0" w:space="0" w:color="auto"/>
            <w:left w:val="none" w:sz="0" w:space="0" w:color="auto"/>
            <w:bottom w:val="none" w:sz="0" w:space="0" w:color="auto"/>
            <w:right w:val="none" w:sz="0" w:space="0" w:color="auto"/>
          </w:divBdr>
        </w:div>
        <w:div w:id="894243566">
          <w:marLeft w:val="0"/>
          <w:marRight w:val="0"/>
          <w:marTop w:val="0"/>
          <w:marBottom w:val="0"/>
          <w:divBdr>
            <w:top w:val="none" w:sz="0" w:space="0" w:color="auto"/>
            <w:left w:val="none" w:sz="0" w:space="0" w:color="auto"/>
            <w:bottom w:val="none" w:sz="0" w:space="0" w:color="auto"/>
            <w:right w:val="none" w:sz="0" w:space="0" w:color="auto"/>
          </w:divBdr>
        </w:div>
        <w:div w:id="1416438687">
          <w:marLeft w:val="0"/>
          <w:marRight w:val="0"/>
          <w:marTop w:val="0"/>
          <w:marBottom w:val="0"/>
          <w:divBdr>
            <w:top w:val="none" w:sz="0" w:space="0" w:color="auto"/>
            <w:left w:val="none" w:sz="0" w:space="0" w:color="auto"/>
            <w:bottom w:val="none" w:sz="0" w:space="0" w:color="auto"/>
            <w:right w:val="none" w:sz="0" w:space="0" w:color="auto"/>
          </w:divBdr>
        </w:div>
        <w:div w:id="761414266">
          <w:marLeft w:val="0"/>
          <w:marRight w:val="0"/>
          <w:marTop w:val="0"/>
          <w:marBottom w:val="0"/>
          <w:divBdr>
            <w:top w:val="none" w:sz="0" w:space="0" w:color="auto"/>
            <w:left w:val="none" w:sz="0" w:space="0" w:color="auto"/>
            <w:bottom w:val="none" w:sz="0" w:space="0" w:color="auto"/>
            <w:right w:val="none" w:sz="0" w:space="0" w:color="auto"/>
          </w:divBdr>
        </w:div>
        <w:div w:id="1564636332">
          <w:marLeft w:val="0"/>
          <w:marRight w:val="0"/>
          <w:marTop w:val="0"/>
          <w:marBottom w:val="0"/>
          <w:divBdr>
            <w:top w:val="none" w:sz="0" w:space="0" w:color="auto"/>
            <w:left w:val="none" w:sz="0" w:space="0" w:color="auto"/>
            <w:bottom w:val="none" w:sz="0" w:space="0" w:color="auto"/>
            <w:right w:val="none" w:sz="0" w:space="0" w:color="auto"/>
          </w:divBdr>
        </w:div>
        <w:div w:id="194588792">
          <w:marLeft w:val="0"/>
          <w:marRight w:val="0"/>
          <w:marTop w:val="0"/>
          <w:marBottom w:val="0"/>
          <w:divBdr>
            <w:top w:val="none" w:sz="0" w:space="0" w:color="auto"/>
            <w:left w:val="none" w:sz="0" w:space="0" w:color="auto"/>
            <w:bottom w:val="none" w:sz="0" w:space="0" w:color="auto"/>
            <w:right w:val="none" w:sz="0" w:space="0" w:color="auto"/>
          </w:divBdr>
        </w:div>
        <w:div w:id="292442211">
          <w:marLeft w:val="0"/>
          <w:marRight w:val="0"/>
          <w:marTop w:val="0"/>
          <w:marBottom w:val="0"/>
          <w:divBdr>
            <w:top w:val="none" w:sz="0" w:space="0" w:color="auto"/>
            <w:left w:val="none" w:sz="0" w:space="0" w:color="auto"/>
            <w:bottom w:val="none" w:sz="0" w:space="0" w:color="auto"/>
            <w:right w:val="none" w:sz="0" w:space="0" w:color="auto"/>
          </w:divBdr>
        </w:div>
        <w:div w:id="2137480380">
          <w:marLeft w:val="0"/>
          <w:marRight w:val="0"/>
          <w:marTop w:val="0"/>
          <w:marBottom w:val="0"/>
          <w:divBdr>
            <w:top w:val="none" w:sz="0" w:space="0" w:color="auto"/>
            <w:left w:val="none" w:sz="0" w:space="0" w:color="auto"/>
            <w:bottom w:val="none" w:sz="0" w:space="0" w:color="auto"/>
            <w:right w:val="none" w:sz="0" w:space="0" w:color="auto"/>
          </w:divBdr>
        </w:div>
        <w:div w:id="1149394762">
          <w:marLeft w:val="0"/>
          <w:marRight w:val="0"/>
          <w:marTop w:val="0"/>
          <w:marBottom w:val="0"/>
          <w:divBdr>
            <w:top w:val="none" w:sz="0" w:space="0" w:color="auto"/>
            <w:left w:val="none" w:sz="0" w:space="0" w:color="auto"/>
            <w:bottom w:val="none" w:sz="0" w:space="0" w:color="auto"/>
            <w:right w:val="none" w:sz="0" w:space="0" w:color="auto"/>
          </w:divBdr>
        </w:div>
        <w:div w:id="965351216">
          <w:marLeft w:val="0"/>
          <w:marRight w:val="0"/>
          <w:marTop w:val="0"/>
          <w:marBottom w:val="0"/>
          <w:divBdr>
            <w:top w:val="none" w:sz="0" w:space="0" w:color="auto"/>
            <w:left w:val="none" w:sz="0" w:space="0" w:color="auto"/>
            <w:bottom w:val="none" w:sz="0" w:space="0" w:color="auto"/>
            <w:right w:val="none" w:sz="0" w:space="0" w:color="auto"/>
          </w:divBdr>
        </w:div>
        <w:div w:id="687871504">
          <w:marLeft w:val="0"/>
          <w:marRight w:val="0"/>
          <w:marTop w:val="0"/>
          <w:marBottom w:val="0"/>
          <w:divBdr>
            <w:top w:val="none" w:sz="0" w:space="0" w:color="auto"/>
            <w:left w:val="none" w:sz="0" w:space="0" w:color="auto"/>
            <w:bottom w:val="none" w:sz="0" w:space="0" w:color="auto"/>
            <w:right w:val="none" w:sz="0" w:space="0" w:color="auto"/>
          </w:divBdr>
        </w:div>
        <w:div w:id="2071925171">
          <w:marLeft w:val="0"/>
          <w:marRight w:val="0"/>
          <w:marTop w:val="0"/>
          <w:marBottom w:val="0"/>
          <w:divBdr>
            <w:top w:val="none" w:sz="0" w:space="0" w:color="auto"/>
            <w:left w:val="none" w:sz="0" w:space="0" w:color="auto"/>
            <w:bottom w:val="none" w:sz="0" w:space="0" w:color="auto"/>
            <w:right w:val="none" w:sz="0" w:space="0" w:color="auto"/>
          </w:divBdr>
        </w:div>
        <w:div w:id="173308726">
          <w:marLeft w:val="0"/>
          <w:marRight w:val="0"/>
          <w:marTop w:val="0"/>
          <w:marBottom w:val="0"/>
          <w:divBdr>
            <w:top w:val="none" w:sz="0" w:space="0" w:color="auto"/>
            <w:left w:val="none" w:sz="0" w:space="0" w:color="auto"/>
            <w:bottom w:val="none" w:sz="0" w:space="0" w:color="auto"/>
            <w:right w:val="none" w:sz="0" w:space="0" w:color="auto"/>
          </w:divBdr>
        </w:div>
        <w:div w:id="2054964487">
          <w:marLeft w:val="0"/>
          <w:marRight w:val="0"/>
          <w:marTop w:val="0"/>
          <w:marBottom w:val="0"/>
          <w:divBdr>
            <w:top w:val="none" w:sz="0" w:space="0" w:color="auto"/>
            <w:left w:val="none" w:sz="0" w:space="0" w:color="auto"/>
            <w:bottom w:val="none" w:sz="0" w:space="0" w:color="auto"/>
            <w:right w:val="none" w:sz="0" w:space="0" w:color="auto"/>
          </w:divBdr>
        </w:div>
        <w:div w:id="855341984">
          <w:marLeft w:val="0"/>
          <w:marRight w:val="0"/>
          <w:marTop w:val="0"/>
          <w:marBottom w:val="0"/>
          <w:divBdr>
            <w:top w:val="none" w:sz="0" w:space="0" w:color="auto"/>
            <w:left w:val="none" w:sz="0" w:space="0" w:color="auto"/>
            <w:bottom w:val="none" w:sz="0" w:space="0" w:color="auto"/>
            <w:right w:val="none" w:sz="0" w:space="0" w:color="auto"/>
          </w:divBdr>
        </w:div>
      </w:divsChild>
    </w:div>
    <w:div w:id="1289824399">
      <w:bodyDiv w:val="1"/>
      <w:marLeft w:val="0"/>
      <w:marRight w:val="0"/>
      <w:marTop w:val="0"/>
      <w:marBottom w:val="0"/>
      <w:divBdr>
        <w:top w:val="none" w:sz="0" w:space="0" w:color="auto"/>
        <w:left w:val="none" w:sz="0" w:space="0" w:color="auto"/>
        <w:bottom w:val="none" w:sz="0" w:space="0" w:color="auto"/>
        <w:right w:val="none" w:sz="0" w:space="0" w:color="auto"/>
      </w:divBdr>
      <w:divsChild>
        <w:div w:id="261183863">
          <w:marLeft w:val="446"/>
          <w:marRight w:val="0"/>
          <w:marTop w:val="0"/>
          <w:marBottom w:val="0"/>
          <w:divBdr>
            <w:top w:val="none" w:sz="0" w:space="0" w:color="auto"/>
            <w:left w:val="none" w:sz="0" w:space="0" w:color="auto"/>
            <w:bottom w:val="none" w:sz="0" w:space="0" w:color="auto"/>
            <w:right w:val="none" w:sz="0" w:space="0" w:color="auto"/>
          </w:divBdr>
        </w:div>
      </w:divsChild>
    </w:div>
    <w:div w:id="1331442053">
      <w:bodyDiv w:val="1"/>
      <w:marLeft w:val="0"/>
      <w:marRight w:val="0"/>
      <w:marTop w:val="0"/>
      <w:marBottom w:val="0"/>
      <w:divBdr>
        <w:top w:val="none" w:sz="0" w:space="0" w:color="auto"/>
        <w:left w:val="none" w:sz="0" w:space="0" w:color="auto"/>
        <w:bottom w:val="none" w:sz="0" w:space="0" w:color="auto"/>
        <w:right w:val="none" w:sz="0" w:space="0" w:color="auto"/>
      </w:divBdr>
    </w:div>
    <w:div w:id="1348288472">
      <w:bodyDiv w:val="1"/>
      <w:marLeft w:val="0"/>
      <w:marRight w:val="0"/>
      <w:marTop w:val="0"/>
      <w:marBottom w:val="0"/>
      <w:divBdr>
        <w:top w:val="none" w:sz="0" w:space="0" w:color="auto"/>
        <w:left w:val="none" w:sz="0" w:space="0" w:color="auto"/>
        <w:bottom w:val="none" w:sz="0" w:space="0" w:color="auto"/>
        <w:right w:val="none" w:sz="0" w:space="0" w:color="auto"/>
      </w:divBdr>
    </w:div>
    <w:div w:id="1422793530">
      <w:bodyDiv w:val="1"/>
      <w:marLeft w:val="0"/>
      <w:marRight w:val="0"/>
      <w:marTop w:val="0"/>
      <w:marBottom w:val="0"/>
      <w:divBdr>
        <w:top w:val="none" w:sz="0" w:space="0" w:color="auto"/>
        <w:left w:val="none" w:sz="0" w:space="0" w:color="auto"/>
        <w:bottom w:val="none" w:sz="0" w:space="0" w:color="auto"/>
        <w:right w:val="none" w:sz="0" w:space="0" w:color="auto"/>
      </w:divBdr>
    </w:div>
    <w:div w:id="1489781353">
      <w:bodyDiv w:val="1"/>
      <w:marLeft w:val="0"/>
      <w:marRight w:val="0"/>
      <w:marTop w:val="0"/>
      <w:marBottom w:val="0"/>
      <w:divBdr>
        <w:top w:val="none" w:sz="0" w:space="0" w:color="auto"/>
        <w:left w:val="none" w:sz="0" w:space="0" w:color="auto"/>
        <w:bottom w:val="none" w:sz="0" w:space="0" w:color="auto"/>
        <w:right w:val="none" w:sz="0" w:space="0" w:color="auto"/>
      </w:divBdr>
      <w:divsChild>
        <w:div w:id="1962295763">
          <w:marLeft w:val="547"/>
          <w:marRight w:val="0"/>
          <w:marTop w:val="0"/>
          <w:marBottom w:val="0"/>
          <w:divBdr>
            <w:top w:val="none" w:sz="0" w:space="0" w:color="auto"/>
            <w:left w:val="none" w:sz="0" w:space="0" w:color="auto"/>
            <w:bottom w:val="none" w:sz="0" w:space="0" w:color="auto"/>
            <w:right w:val="none" w:sz="0" w:space="0" w:color="auto"/>
          </w:divBdr>
        </w:div>
      </w:divsChild>
    </w:div>
    <w:div w:id="1553233159">
      <w:bodyDiv w:val="1"/>
      <w:marLeft w:val="0"/>
      <w:marRight w:val="0"/>
      <w:marTop w:val="0"/>
      <w:marBottom w:val="0"/>
      <w:divBdr>
        <w:top w:val="none" w:sz="0" w:space="0" w:color="auto"/>
        <w:left w:val="none" w:sz="0" w:space="0" w:color="auto"/>
        <w:bottom w:val="none" w:sz="0" w:space="0" w:color="auto"/>
        <w:right w:val="none" w:sz="0" w:space="0" w:color="auto"/>
      </w:divBdr>
    </w:div>
    <w:div w:id="1561793624">
      <w:bodyDiv w:val="1"/>
      <w:marLeft w:val="0"/>
      <w:marRight w:val="0"/>
      <w:marTop w:val="0"/>
      <w:marBottom w:val="0"/>
      <w:divBdr>
        <w:top w:val="none" w:sz="0" w:space="0" w:color="auto"/>
        <w:left w:val="none" w:sz="0" w:space="0" w:color="auto"/>
        <w:bottom w:val="none" w:sz="0" w:space="0" w:color="auto"/>
        <w:right w:val="none" w:sz="0" w:space="0" w:color="auto"/>
      </w:divBdr>
    </w:div>
    <w:div w:id="1736926143">
      <w:bodyDiv w:val="1"/>
      <w:marLeft w:val="0"/>
      <w:marRight w:val="0"/>
      <w:marTop w:val="0"/>
      <w:marBottom w:val="0"/>
      <w:divBdr>
        <w:top w:val="none" w:sz="0" w:space="0" w:color="auto"/>
        <w:left w:val="none" w:sz="0" w:space="0" w:color="auto"/>
        <w:bottom w:val="none" w:sz="0" w:space="0" w:color="auto"/>
        <w:right w:val="none" w:sz="0" w:space="0" w:color="auto"/>
      </w:divBdr>
      <w:divsChild>
        <w:div w:id="1473055990">
          <w:marLeft w:val="2347"/>
          <w:marRight w:val="0"/>
          <w:marTop w:val="0"/>
          <w:marBottom w:val="0"/>
          <w:divBdr>
            <w:top w:val="none" w:sz="0" w:space="0" w:color="auto"/>
            <w:left w:val="none" w:sz="0" w:space="0" w:color="auto"/>
            <w:bottom w:val="none" w:sz="0" w:space="0" w:color="auto"/>
            <w:right w:val="none" w:sz="0" w:space="0" w:color="auto"/>
          </w:divBdr>
        </w:div>
        <w:div w:id="2129665699">
          <w:marLeft w:val="2347"/>
          <w:marRight w:val="0"/>
          <w:marTop w:val="0"/>
          <w:marBottom w:val="0"/>
          <w:divBdr>
            <w:top w:val="none" w:sz="0" w:space="0" w:color="auto"/>
            <w:left w:val="none" w:sz="0" w:space="0" w:color="auto"/>
            <w:bottom w:val="none" w:sz="0" w:space="0" w:color="auto"/>
            <w:right w:val="none" w:sz="0" w:space="0" w:color="auto"/>
          </w:divBdr>
        </w:div>
      </w:divsChild>
    </w:div>
    <w:div w:id="1822381257">
      <w:bodyDiv w:val="1"/>
      <w:marLeft w:val="0"/>
      <w:marRight w:val="0"/>
      <w:marTop w:val="0"/>
      <w:marBottom w:val="0"/>
      <w:divBdr>
        <w:top w:val="none" w:sz="0" w:space="0" w:color="auto"/>
        <w:left w:val="none" w:sz="0" w:space="0" w:color="auto"/>
        <w:bottom w:val="none" w:sz="0" w:space="0" w:color="auto"/>
        <w:right w:val="none" w:sz="0" w:space="0" w:color="auto"/>
      </w:divBdr>
      <w:divsChild>
        <w:div w:id="741441057">
          <w:marLeft w:val="1267"/>
          <w:marRight w:val="0"/>
          <w:marTop w:val="0"/>
          <w:marBottom w:val="320"/>
          <w:divBdr>
            <w:top w:val="none" w:sz="0" w:space="0" w:color="auto"/>
            <w:left w:val="none" w:sz="0" w:space="0" w:color="auto"/>
            <w:bottom w:val="none" w:sz="0" w:space="0" w:color="auto"/>
            <w:right w:val="none" w:sz="0" w:space="0" w:color="auto"/>
          </w:divBdr>
        </w:div>
      </w:divsChild>
    </w:div>
    <w:div w:id="2037003967">
      <w:bodyDiv w:val="1"/>
      <w:marLeft w:val="0"/>
      <w:marRight w:val="0"/>
      <w:marTop w:val="0"/>
      <w:marBottom w:val="0"/>
      <w:divBdr>
        <w:top w:val="none" w:sz="0" w:space="0" w:color="auto"/>
        <w:left w:val="none" w:sz="0" w:space="0" w:color="auto"/>
        <w:bottom w:val="none" w:sz="0" w:space="0" w:color="auto"/>
        <w:right w:val="none" w:sz="0" w:space="0" w:color="auto"/>
      </w:divBdr>
      <w:divsChild>
        <w:div w:id="453982621">
          <w:marLeft w:val="547"/>
          <w:marRight w:val="0"/>
          <w:marTop w:val="0"/>
          <w:marBottom w:val="80"/>
          <w:divBdr>
            <w:top w:val="none" w:sz="0" w:space="0" w:color="auto"/>
            <w:left w:val="none" w:sz="0" w:space="0" w:color="auto"/>
            <w:bottom w:val="none" w:sz="0" w:space="0" w:color="auto"/>
            <w:right w:val="none" w:sz="0" w:space="0" w:color="auto"/>
          </w:divBdr>
        </w:div>
        <w:div w:id="132795316">
          <w:marLeft w:val="1267"/>
          <w:marRight w:val="0"/>
          <w:marTop w:val="0"/>
          <w:marBottom w:val="0"/>
          <w:divBdr>
            <w:top w:val="none" w:sz="0" w:space="0" w:color="auto"/>
            <w:left w:val="none" w:sz="0" w:space="0" w:color="auto"/>
            <w:bottom w:val="none" w:sz="0" w:space="0" w:color="auto"/>
            <w:right w:val="none" w:sz="0" w:space="0" w:color="auto"/>
          </w:divBdr>
        </w:div>
        <w:div w:id="1735079530">
          <w:marLeft w:val="1267"/>
          <w:marRight w:val="0"/>
          <w:marTop w:val="0"/>
          <w:marBottom w:val="80"/>
          <w:divBdr>
            <w:top w:val="none" w:sz="0" w:space="0" w:color="auto"/>
            <w:left w:val="none" w:sz="0" w:space="0" w:color="auto"/>
            <w:bottom w:val="none" w:sz="0" w:space="0" w:color="auto"/>
            <w:right w:val="none" w:sz="0" w:space="0" w:color="auto"/>
          </w:divBdr>
        </w:div>
        <w:div w:id="692191931">
          <w:marLeft w:val="547"/>
          <w:marRight w:val="0"/>
          <w:marTop w:val="0"/>
          <w:marBottom w:val="80"/>
          <w:divBdr>
            <w:top w:val="none" w:sz="0" w:space="0" w:color="auto"/>
            <w:left w:val="none" w:sz="0" w:space="0" w:color="auto"/>
            <w:bottom w:val="none" w:sz="0" w:space="0" w:color="auto"/>
            <w:right w:val="none" w:sz="0" w:space="0" w:color="auto"/>
          </w:divBdr>
        </w:div>
        <w:div w:id="475223560">
          <w:marLeft w:val="1267"/>
          <w:marRight w:val="0"/>
          <w:marTop w:val="0"/>
          <w:marBottom w:val="0"/>
          <w:divBdr>
            <w:top w:val="none" w:sz="0" w:space="0" w:color="auto"/>
            <w:left w:val="none" w:sz="0" w:space="0" w:color="auto"/>
            <w:bottom w:val="none" w:sz="0" w:space="0" w:color="auto"/>
            <w:right w:val="none" w:sz="0" w:space="0" w:color="auto"/>
          </w:divBdr>
        </w:div>
        <w:div w:id="1904943799">
          <w:marLeft w:val="1267"/>
          <w:marRight w:val="0"/>
          <w:marTop w:val="0"/>
          <w:marBottom w:val="0"/>
          <w:divBdr>
            <w:top w:val="none" w:sz="0" w:space="0" w:color="auto"/>
            <w:left w:val="none" w:sz="0" w:space="0" w:color="auto"/>
            <w:bottom w:val="none" w:sz="0" w:space="0" w:color="auto"/>
            <w:right w:val="none" w:sz="0" w:space="0" w:color="auto"/>
          </w:divBdr>
        </w:div>
        <w:div w:id="1933078122">
          <w:marLeft w:val="1267"/>
          <w:marRight w:val="0"/>
          <w:marTop w:val="0"/>
          <w:marBottom w:val="80"/>
          <w:divBdr>
            <w:top w:val="none" w:sz="0" w:space="0" w:color="auto"/>
            <w:left w:val="none" w:sz="0" w:space="0" w:color="auto"/>
            <w:bottom w:val="none" w:sz="0" w:space="0" w:color="auto"/>
            <w:right w:val="none" w:sz="0" w:space="0" w:color="auto"/>
          </w:divBdr>
        </w:div>
      </w:divsChild>
    </w:div>
    <w:div w:id="206513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gordey.yastrebov@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BD54C-0469-4DE4-8F50-7C009B7BF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53</Pages>
  <Words>13824</Words>
  <Characters>78797</Characters>
  <Application>Microsoft Office Word</Application>
  <DocSecurity>0</DocSecurity>
  <Lines>656</Lines>
  <Paragraphs>184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Krokoz™</Company>
  <LinksUpToDate>false</LinksUpToDate>
  <CharactersWithSpaces>92437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Gordey</dc:creator>
  <cp:lastModifiedBy>Гордей Ястребов</cp:lastModifiedBy>
  <cp:revision>25</cp:revision>
  <cp:lastPrinted>2017-03-16T08:45:00Z</cp:lastPrinted>
  <dcterms:created xsi:type="dcterms:W3CDTF">2017-07-26T16:29:00Z</dcterms:created>
  <dcterms:modified xsi:type="dcterms:W3CDTF">2017-07-27T08:14:00Z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id="pta5o1kn"/&gt;&lt;style id="http://www.zotero.org/styles/sociology-of-education"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name="noteType" value=""/&gt;&lt;/prefs&gt;&lt;/data&gt;</vt:lpwstr>
  </property>
</Properties>
</file>